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B13" w:rsidRDefault="00FD4B13" w:rsidP="00FD4B13">
      <w:pPr>
        <w:pStyle w:val="Title"/>
        <w:spacing w:line="360" w:lineRule="auto"/>
      </w:pPr>
      <w:bookmarkStart w:id="0" w:name="_GoBack"/>
      <w:bookmarkEnd w:id="0"/>
    </w:p>
    <w:p w:rsidR="00FD4B13" w:rsidRPr="00DC54F0" w:rsidRDefault="00FD4B13" w:rsidP="00FD4B13">
      <w:pPr>
        <w:pStyle w:val="Title"/>
        <w:spacing w:line="360" w:lineRule="auto"/>
      </w:pPr>
      <w:r w:rsidRPr="00DC54F0">
        <w:t>SAEIMAS AIZSARDZĪBAS, IEKŠLIETU UN</w:t>
      </w:r>
    </w:p>
    <w:p w:rsidR="00FD4B13" w:rsidRPr="00DC54F0" w:rsidRDefault="00FD4B13" w:rsidP="00FD4B13">
      <w:pPr>
        <w:pStyle w:val="Title"/>
        <w:spacing w:line="360" w:lineRule="auto"/>
      </w:pPr>
      <w:r w:rsidRPr="00DC54F0">
        <w:t>KORUPCIJAS NOVĒRŠANAS KOMISIJAS</w:t>
      </w:r>
    </w:p>
    <w:p w:rsidR="00FD4B13" w:rsidRPr="00DC54F0" w:rsidRDefault="00FD4B13" w:rsidP="00FD4B13">
      <w:pPr>
        <w:pStyle w:val="Title"/>
        <w:spacing w:line="360" w:lineRule="auto"/>
      </w:pPr>
      <w:r w:rsidRPr="00DC54F0">
        <w:t>KORUPCIJAS NOVĒRŠANAS APAKŠKOMISIJAS SĒDES</w:t>
      </w:r>
    </w:p>
    <w:p w:rsidR="00FD4B13" w:rsidRPr="00DC54F0" w:rsidRDefault="00FD4B13" w:rsidP="00FD4B13">
      <w:pPr>
        <w:spacing w:line="360" w:lineRule="auto"/>
        <w:jc w:val="center"/>
        <w:rPr>
          <w:rFonts w:eastAsia="Calibri"/>
        </w:rPr>
      </w:pPr>
      <w:smartTag w:uri="schemas-tilde-lv/tildestengine" w:element="veidnes">
        <w:smartTagPr>
          <w:attr w:name="text" w:val="PROTOKOLS"/>
          <w:attr w:name="baseform" w:val="PROTOKOLS"/>
          <w:attr w:name="id" w:val="-1"/>
        </w:smartTagPr>
        <w:r w:rsidRPr="00DC54F0">
          <w:rPr>
            <w:rFonts w:eastAsia="Calibri"/>
            <w:b/>
          </w:rPr>
          <w:t>PROTOKOLS</w:t>
        </w:r>
      </w:smartTag>
      <w:r w:rsidRPr="00DC54F0">
        <w:rPr>
          <w:rFonts w:eastAsia="Calibri"/>
          <w:b/>
        </w:rPr>
        <w:t xml:space="preserve"> Nr.</w:t>
      </w:r>
      <w:r>
        <w:rPr>
          <w:rFonts w:eastAsia="Calibri"/>
          <w:b/>
        </w:rPr>
        <w:t xml:space="preserve"> 3</w:t>
      </w:r>
      <w:r w:rsidR="00AD77F5">
        <w:rPr>
          <w:rFonts w:eastAsia="Calibri"/>
          <w:b/>
        </w:rPr>
        <w:t>6</w:t>
      </w:r>
    </w:p>
    <w:p w:rsidR="00FD4B13" w:rsidRPr="00DC54F0" w:rsidRDefault="00FD4B13" w:rsidP="00FD4B13">
      <w:pPr>
        <w:spacing w:line="360" w:lineRule="auto"/>
        <w:jc w:val="center"/>
        <w:rPr>
          <w:rFonts w:eastAsia="Calibri"/>
          <w:b/>
        </w:rPr>
      </w:pPr>
      <w:proofErr w:type="gramStart"/>
      <w:r>
        <w:rPr>
          <w:rFonts w:eastAsia="Calibri"/>
          <w:b/>
        </w:rPr>
        <w:t>2017.gada</w:t>
      </w:r>
      <w:proofErr w:type="gramEnd"/>
      <w:r>
        <w:rPr>
          <w:rFonts w:eastAsia="Calibri"/>
          <w:b/>
        </w:rPr>
        <w:t xml:space="preserve"> 28.martā  </w:t>
      </w:r>
      <w:r w:rsidRPr="00DC54F0">
        <w:rPr>
          <w:rFonts w:eastAsia="Calibri"/>
          <w:b/>
        </w:rPr>
        <w:t>plkst.13.30</w:t>
      </w:r>
    </w:p>
    <w:p w:rsidR="00FD4B13" w:rsidRPr="00DC54F0" w:rsidRDefault="00FD4B13" w:rsidP="00FD4B13">
      <w:pPr>
        <w:spacing w:line="360" w:lineRule="auto"/>
        <w:jc w:val="center"/>
        <w:rPr>
          <w:rFonts w:eastAsia="Calibri"/>
          <w:b/>
        </w:rPr>
      </w:pPr>
      <w:r w:rsidRPr="00DC54F0">
        <w:rPr>
          <w:rFonts w:eastAsia="Calibri"/>
          <w:b/>
        </w:rPr>
        <w:t>Rīgā, Jēkaba ielā 16, komisijas sēžu zālē</w:t>
      </w:r>
    </w:p>
    <w:p w:rsidR="00FD4B13" w:rsidRPr="00DC54F0" w:rsidRDefault="00FD4B13" w:rsidP="00FD4B13">
      <w:pPr>
        <w:spacing w:line="360" w:lineRule="auto"/>
        <w:jc w:val="both"/>
        <w:rPr>
          <w:rFonts w:eastAsia="Calibri"/>
          <w:b/>
        </w:rPr>
      </w:pPr>
    </w:p>
    <w:p w:rsidR="00FD4B13" w:rsidRDefault="00FD4B13" w:rsidP="00FD4B13">
      <w:pPr>
        <w:spacing w:line="360" w:lineRule="auto"/>
        <w:jc w:val="both"/>
        <w:rPr>
          <w:rFonts w:eastAsia="Calibri"/>
          <w:b/>
        </w:rPr>
      </w:pPr>
    </w:p>
    <w:p w:rsidR="00FD4B13" w:rsidRPr="00DC54F0" w:rsidRDefault="00FD4B13" w:rsidP="00FD4B13">
      <w:pPr>
        <w:spacing w:line="360" w:lineRule="auto"/>
        <w:jc w:val="both"/>
        <w:rPr>
          <w:rFonts w:eastAsia="Calibri"/>
          <w:b/>
        </w:rPr>
      </w:pPr>
      <w:r w:rsidRPr="00DC54F0">
        <w:rPr>
          <w:rFonts w:eastAsia="Calibri"/>
          <w:b/>
        </w:rPr>
        <w:t>Sēdē piedalās:</w:t>
      </w:r>
    </w:p>
    <w:p w:rsidR="00FD4B13" w:rsidRPr="00DC54F0" w:rsidRDefault="00FD4B13" w:rsidP="00FD4B13">
      <w:pPr>
        <w:spacing w:line="360" w:lineRule="auto"/>
        <w:jc w:val="both"/>
        <w:rPr>
          <w:rFonts w:eastAsia="Calibri"/>
        </w:rPr>
      </w:pPr>
      <w:r w:rsidRPr="00DC54F0">
        <w:rPr>
          <w:rFonts w:eastAsia="Calibri"/>
          <w:u w:val="single"/>
        </w:rPr>
        <w:t>apakškomisijas locekļi:</w:t>
      </w:r>
    </w:p>
    <w:p w:rsidR="00FD4B13" w:rsidRDefault="00FD4B13" w:rsidP="00FD4B13">
      <w:pPr>
        <w:spacing w:line="360" w:lineRule="auto"/>
        <w:jc w:val="both"/>
      </w:pPr>
      <w:r w:rsidRPr="002B72B3">
        <w:t>Aleksejs Loskutovs</w:t>
      </w:r>
    </w:p>
    <w:p w:rsidR="00FD4B13" w:rsidRDefault="00FD4B13" w:rsidP="00FD4B13">
      <w:pPr>
        <w:spacing w:line="360" w:lineRule="auto"/>
        <w:jc w:val="both"/>
      </w:pPr>
      <w:r>
        <w:t xml:space="preserve">A.Latkovskis </w:t>
      </w:r>
    </w:p>
    <w:p w:rsidR="00FD4B13" w:rsidRDefault="00FD4B13" w:rsidP="00FD4B13">
      <w:pPr>
        <w:spacing w:line="360" w:lineRule="auto"/>
        <w:jc w:val="both"/>
      </w:pPr>
      <w:r>
        <w:t>Kārlis Krēsliņš</w:t>
      </w:r>
    </w:p>
    <w:p w:rsidR="00FD4B13" w:rsidRDefault="00FD4B13" w:rsidP="00FD4B13">
      <w:pPr>
        <w:spacing w:line="360" w:lineRule="auto"/>
        <w:jc w:val="both"/>
      </w:pPr>
      <w:r>
        <w:t>Romāns Mežeckis</w:t>
      </w:r>
    </w:p>
    <w:p w:rsidR="00FD4B13" w:rsidRDefault="00FD4B13" w:rsidP="00FD4B13">
      <w:pPr>
        <w:spacing w:line="360" w:lineRule="auto"/>
        <w:jc w:val="both"/>
      </w:pPr>
      <w:r>
        <w:t xml:space="preserve">Veiko Spolītis </w:t>
      </w:r>
    </w:p>
    <w:p w:rsidR="00FD4B13" w:rsidRDefault="00FD4B13" w:rsidP="00FD4B13">
      <w:pPr>
        <w:spacing w:line="360" w:lineRule="auto"/>
        <w:jc w:val="both"/>
      </w:pPr>
      <w:r>
        <w:t>Zenta Tretjaka</w:t>
      </w:r>
    </w:p>
    <w:p w:rsidR="00FD4B13" w:rsidRPr="00FD4B13" w:rsidRDefault="00FD4B13" w:rsidP="00FD4B13">
      <w:pPr>
        <w:pStyle w:val="ListParagraph"/>
        <w:spacing w:line="360" w:lineRule="auto"/>
        <w:ind w:left="0"/>
        <w:jc w:val="both"/>
        <w:rPr>
          <w:rStyle w:val="Strong"/>
          <w:b w:val="0"/>
          <w:u w:val="single"/>
        </w:rPr>
      </w:pPr>
      <w:r w:rsidRPr="00FD4B13">
        <w:rPr>
          <w:rStyle w:val="Strong"/>
          <w:b w:val="0"/>
          <w:u w:val="single"/>
        </w:rPr>
        <w:t>citas personas:</w:t>
      </w:r>
    </w:p>
    <w:p w:rsidR="00FD4B13" w:rsidRPr="00FD4B13" w:rsidRDefault="00FD4B13" w:rsidP="00FD4B13">
      <w:pPr>
        <w:pStyle w:val="ListParagraph"/>
        <w:spacing w:line="360" w:lineRule="auto"/>
        <w:ind w:left="0"/>
        <w:jc w:val="both"/>
        <w:rPr>
          <w:rStyle w:val="Strong"/>
          <w:b w:val="0"/>
        </w:rPr>
      </w:pPr>
      <w:r w:rsidRPr="00FD4B13">
        <w:rPr>
          <w:rStyle w:val="Strong"/>
          <w:b w:val="0"/>
        </w:rPr>
        <w:t>•</w:t>
      </w:r>
      <w:r w:rsidRPr="00FD4B13">
        <w:rPr>
          <w:rStyle w:val="Strong"/>
          <w:b w:val="0"/>
        </w:rPr>
        <w:tab/>
        <w:t xml:space="preserve">Korupcijas novēršanas un apkarošanas biroja priekšnieka </w:t>
      </w:r>
      <w:proofErr w:type="spellStart"/>
      <w:r w:rsidRPr="00FD4B13">
        <w:rPr>
          <w:rStyle w:val="Strong"/>
          <w:b w:val="0"/>
        </w:rPr>
        <w:t>p.i</w:t>
      </w:r>
      <w:proofErr w:type="spellEnd"/>
      <w:r w:rsidRPr="00FD4B13">
        <w:rPr>
          <w:rStyle w:val="Strong"/>
          <w:b w:val="0"/>
        </w:rPr>
        <w:t xml:space="preserve">. Ilze </w:t>
      </w:r>
      <w:proofErr w:type="spellStart"/>
      <w:r w:rsidRPr="00FD4B13">
        <w:rPr>
          <w:rStyle w:val="Strong"/>
          <w:b w:val="0"/>
        </w:rPr>
        <w:t>Jurča</w:t>
      </w:r>
      <w:proofErr w:type="spellEnd"/>
    </w:p>
    <w:p w:rsidR="00FD4B13" w:rsidRPr="00FD4B13" w:rsidRDefault="00FD4B13" w:rsidP="00FD4B13">
      <w:pPr>
        <w:pStyle w:val="ListParagraph"/>
        <w:spacing w:line="360" w:lineRule="auto"/>
        <w:ind w:left="0"/>
        <w:jc w:val="both"/>
        <w:rPr>
          <w:rStyle w:val="Strong"/>
          <w:b w:val="0"/>
        </w:rPr>
      </w:pPr>
      <w:r w:rsidRPr="00FD4B13">
        <w:rPr>
          <w:rStyle w:val="Strong"/>
          <w:b w:val="0"/>
        </w:rPr>
        <w:t>•</w:t>
      </w:r>
      <w:r w:rsidRPr="00FD4B13">
        <w:rPr>
          <w:rStyle w:val="Strong"/>
          <w:b w:val="0"/>
        </w:rPr>
        <w:tab/>
        <w:t xml:space="preserve">Korupcijas novēršanas un apkarošanas biroja Politisko organizāciju finansēšanas </w:t>
      </w:r>
    </w:p>
    <w:p w:rsidR="00FD4B13" w:rsidRPr="00FD4B13" w:rsidRDefault="00FD4B13" w:rsidP="00FD4B13">
      <w:pPr>
        <w:pStyle w:val="ListParagraph"/>
        <w:spacing w:line="360" w:lineRule="auto"/>
        <w:ind w:left="0" w:firstLine="720"/>
        <w:jc w:val="both"/>
        <w:rPr>
          <w:rStyle w:val="Strong"/>
          <w:b w:val="0"/>
        </w:rPr>
      </w:pPr>
      <w:r w:rsidRPr="00FD4B13">
        <w:rPr>
          <w:rStyle w:val="Strong"/>
          <w:b w:val="0"/>
        </w:rPr>
        <w:t>kontroles nodaļas vadītāja Inga Jaunskunga</w:t>
      </w:r>
    </w:p>
    <w:p w:rsidR="00FD4B13" w:rsidRPr="00FD4B13" w:rsidRDefault="00FD4B13" w:rsidP="00FD4B13">
      <w:pPr>
        <w:pStyle w:val="ListParagraph"/>
        <w:spacing w:line="360" w:lineRule="auto"/>
        <w:ind w:left="0"/>
        <w:jc w:val="both"/>
        <w:rPr>
          <w:rStyle w:val="Strong"/>
          <w:b w:val="0"/>
        </w:rPr>
      </w:pPr>
      <w:r w:rsidRPr="00FD4B13">
        <w:rPr>
          <w:rStyle w:val="Strong"/>
          <w:b w:val="0"/>
        </w:rPr>
        <w:t>•</w:t>
      </w:r>
      <w:r w:rsidRPr="00FD4B13">
        <w:rPr>
          <w:rStyle w:val="Strong"/>
          <w:b w:val="0"/>
        </w:rPr>
        <w:tab/>
        <w:t xml:space="preserve">Sabiedrības par atklātību - Delna direktors Jānis </w:t>
      </w:r>
      <w:proofErr w:type="spellStart"/>
      <w:r w:rsidRPr="00FD4B13">
        <w:rPr>
          <w:rStyle w:val="Strong"/>
          <w:b w:val="0"/>
        </w:rPr>
        <w:t>Volberts</w:t>
      </w:r>
      <w:proofErr w:type="spellEnd"/>
    </w:p>
    <w:p w:rsidR="00FD4B13" w:rsidRPr="00FD4B13" w:rsidRDefault="00FD4B13" w:rsidP="00FD4B13">
      <w:pPr>
        <w:pStyle w:val="ListParagraph"/>
        <w:spacing w:line="360" w:lineRule="auto"/>
        <w:ind w:left="0"/>
        <w:jc w:val="both"/>
        <w:rPr>
          <w:rStyle w:val="Strong"/>
          <w:b w:val="0"/>
        </w:rPr>
      </w:pPr>
      <w:r w:rsidRPr="00FD4B13">
        <w:rPr>
          <w:rStyle w:val="Strong"/>
          <w:b w:val="0"/>
        </w:rPr>
        <w:t>•</w:t>
      </w:r>
      <w:r w:rsidRPr="00FD4B13">
        <w:rPr>
          <w:rStyle w:val="Strong"/>
          <w:b w:val="0"/>
        </w:rPr>
        <w:tab/>
        <w:t>Sabiedrības par atklātību - Delna padomes priekšsēdētājs Valdis Liepiņš</w:t>
      </w:r>
    </w:p>
    <w:p w:rsidR="00FD4B13" w:rsidRDefault="00FD4B13" w:rsidP="00FD4B13">
      <w:pPr>
        <w:pStyle w:val="ListParagraph"/>
        <w:spacing w:line="360" w:lineRule="auto"/>
        <w:ind w:hanging="720"/>
        <w:jc w:val="both"/>
        <w:rPr>
          <w:rFonts w:eastAsia="Calibri"/>
        </w:rPr>
      </w:pPr>
      <w:r w:rsidRPr="00DF648F">
        <w:rPr>
          <w:rStyle w:val="Strong"/>
        </w:rPr>
        <w:t>•</w:t>
      </w:r>
      <w:r>
        <w:rPr>
          <w:rStyle w:val="Strong"/>
        </w:rPr>
        <w:tab/>
      </w:r>
      <w:r w:rsidRPr="00F713CC">
        <w:rPr>
          <w:rFonts w:eastAsia="Calibri"/>
        </w:rPr>
        <w:t>Aizsardzības, iekšlietu un korupcijas novēršanas komisijas</w:t>
      </w:r>
      <w:r>
        <w:rPr>
          <w:rFonts w:eastAsia="Calibri"/>
        </w:rPr>
        <w:t xml:space="preserve"> </w:t>
      </w:r>
      <w:r w:rsidRPr="00F713CC">
        <w:rPr>
          <w:rFonts w:eastAsia="Calibri"/>
        </w:rPr>
        <w:t xml:space="preserve">vecākā konsultante Ieva </w:t>
      </w:r>
      <w:proofErr w:type="spellStart"/>
      <w:r w:rsidRPr="00F713CC">
        <w:rPr>
          <w:rFonts w:eastAsia="Calibri"/>
        </w:rPr>
        <w:t>Barvika</w:t>
      </w:r>
      <w:proofErr w:type="spellEnd"/>
      <w:r>
        <w:rPr>
          <w:rFonts w:eastAsia="Calibri"/>
        </w:rPr>
        <w:t xml:space="preserve">, </w:t>
      </w:r>
      <w:r w:rsidRPr="00F713CC">
        <w:rPr>
          <w:rFonts w:eastAsia="Calibri"/>
        </w:rPr>
        <w:t>konsultante Margita Markevica</w:t>
      </w:r>
    </w:p>
    <w:p w:rsidR="00FD4B13" w:rsidRPr="00F713CC" w:rsidRDefault="00FD4B13" w:rsidP="00FD4B13">
      <w:pPr>
        <w:pStyle w:val="ListParagraph"/>
        <w:spacing w:line="360" w:lineRule="auto"/>
        <w:ind w:left="0"/>
        <w:jc w:val="both"/>
        <w:rPr>
          <w:rFonts w:eastAsia="Calibri"/>
        </w:rPr>
      </w:pPr>
    </w:p>
    <w:p w:rsidR="00FD4B13" w:rsidRPr="00DC54F0" w:rsidRDefault="00FD4B13" w:rsidP="00FD4B13">
      <w:pPr>
        <w:spacing w:line="360" w:lineRule="auto"/>
        <w:jc w:val="both"/>
        <w:rPr>
          <w:rFonts w:eastAsia="Calibri"/>
        </w:rPr>
      </w:pPr>
      <w:r w:rsidRPr="00DC54F0">
        <w:rPr>
          <w:rFonts w:eastAsia="Calibri"/>
          <w:b/>
        </w:rPr>
        <w:t>Sēdi vada:</w:t>
      </w:r>
      <w:r w:rsidRPr="00DC54F0">
        <w:rPr>
          <w:rFonts w:eastAsia="Calibri"/>
        </w:rPr>
        <w:t xml:space="preserve"> apakškomisijas priekšsēdētājs A.Loskutovs</w:t>
      </w:r>
    </w:p>
    <w:p w:rsidR="00FD4B13" w:rsidRPr="00DC54F0" w:rsidRDefault="00FD4B13" w:rsidP="00FD4B13">
      <w:pPr>
        <w:spacing w:line="360" w:lineRule="auto"/>
        <w:jc w:val="both"/>
        <w:rPr>
          <w:rFonts w:eastAsia="Calibri"/>
        </w:rPr>
      </w:pPr>
      <w:r w:rsidRPr="00DC54F0">
        <w:rPr>
          <w:rFonts w:eastAsia="Calibri"/>
          <w:b/>
        </w:rPr>
        <w:t>Sēdi protokolē:</w:t>
      </w:r>
      <w:r>
        <w:rPr>
          <w:rFonts w:eastAsia="Calibri"/>
        </w:rPr>
        <w:t xml:space="preserve"> M.Markevica</w:t>
      </w:r>
    </w:p>
    <w:p w:rsidR="00FD4B13" w:rsidRPr="00DC54F0" w:rsidRDefault="00FD4B13" w:rsidP="00FD4B13">
      <w:pPr>
        <w:spacing w:line="360" w:lineRule="auto"/>
        <w:jc w:val="both"/>
        <w:rPr>
          <w:rFonts w:eastAsia="Calibri"/>
        </w:rPr>
      </w:pPr>
      <w:r w:rsidRPr="00DC54F0">
        <w:rPr>
          <w:rFonts w:eastAsia="Calibri"/>
          <w:b/>
        </w:rPr>
        <w:t>Sēdes veids:</w:t>
      </w:r>
      <w:r>
        <w:rPr>
          <w:rFonts w:eastAsia="Calibri"/>
        </w:rPr>
        <w:t xml:space="preserve"> atklāta </w:t>
      </w:r>
    </w:p>
    <w:p w:rsidR="00FD4B13" w:rsidRPr="00DC54F0" w:rsidRDefault="00FD4B13" w:rsidP="00FD4B13">
      <w:pPr>
        <w:tabs>
          <w:tab w:val="left" w:pos="2696"/>
        </w:tabs>
        <w:spacing w:line="360" w:lineRule="auto"/>
        <w:jc w:val="both"/>
        <w:rPr>
          <w:rFonts w:eastAsia="Calibri"/>
          <w:u w:val="single"/>
        </w:rPr>
      </w:pPr>
    </w:p>
    <w:p w:rsidR="00FD4B13" w:rsidRDefault="00FD4B13" w:rsidP="00FD4B13">
      <w:pPr>
        <w:pStyle w:val="ListParagraph"/>
        <w:spacing w:line="360" w:lineRule="auto"/>
        <w:ind w:left="0"/>
        <w:jc w:val="both"/>
        <w:rPr>
          <w:rFonts w:eastAsia="Calibri"/>
          <w:b/>
        </w:rPr>
      </w:pPr>
      <w:r w:rsidRPr="00E71691">
        <w:rPr>
          <w:rFonts w:eastAsia="Calibri"/>
          <w:b/>
        </w:rPr>
        <w:t>Darba kārtība:</w:t>
      </w:r>
    </w:p>
    <w:p w:rsidR="00FD4B13" w:rsidRDefault="00A861EA" w:rsidP="00FD4B13">
      <w:pPr>
        <w:pStyle w:val="ListParagraph"/>
        <w:spacing w:line="360" w:lineRule="auto"/>
        <w:ind w:left="0"/>
        <w:jc w:val="both"/>
        <w:rPr>
          <w:rFonts w:eastAsia="Calibri"/>
        </w:rPr>
      </w:pPr>
      <w:r w:rsidRPr="00A861EA">
        <w:rPr>
          <w:rFonts w:eastAsia="Calibri"/>
        </w:rPr>
        <w:t>Korupcijas novēršanas un apkarošanas biroja darbības stratēģijas 2014.–2016. gadam īstenošanas rezultāti un turpmākās vidēja termiņa politikas plānošanas dokuments</w:t>
      </w:r>
      <w:r>
        <w:rPr>
          <w:rFonts w:eastAsia="Calibri"/>
        </w:rPr>
        <w:t>.</w:t>
      </w:r>
    </w:p>
    <w:p w:rsidR="00826802" w:rsidRPr="008260F4" w:rsidRDefault="00826802" w:rsidP="00FD4B13">
      <w:pPr>
        <w:pStyle w:val="ListParagraph"/>
        <w:spacing w:line="360" w:lineRule="auto"/>
        <w:ind w:left="0"/>
        <w:jc w:val="both"/>
        <w:rPr>
          <w:rFonts w:eastAsia="Calibri"/>
        </w:rPr>
      </w:pPr>
    </w:p>
    <w:p w:rsidR="00A861EA" w:rsidRDefault="00FD4B13" w:rsidP="00A861EA">
      <w:pPr>
        <w:spacing w:line="360" w:lineRule="auto"/>
        <w:jc w:val="both"/>
        <w:rPr>
          <w:bCs/>
        </w:rPr>
      </w:pPr>
      <w:r w:rsidRPr="0036680E">
        <w:rPr>
          <w:b/>
          <w:bCs/>
        </w:rPr>
        <w:t>A.Loskutovs</w:t>
      </w:r>
      <w:r>
        <w:rPr>
          <w:bCs/>
        </w:rPr>
        <w:t xml:space="preserve">: iepazīstina ar darba kārtību un aicina KNAB priekšnieka </w:t>
      </w:r>
      <w:proofErr w:type="spellStart"/>
      <w:r>
        <w:rPr>
          <w:bCs/>
        </w:rPr>
        <w:t>p.i</w:t>
      </w:r>
      <w:proofErr w:type="spellEnd"/>
      <w:r>
        <w:rPr>
          <w:bCs/>
        </w:rPr>
        <w:t xml:space="preserve">. </w:t>
      </w:r>
      <w:proofErr w:type="spellStart"/>
      <w:r>
        <w:rPr>
          <w:bCs/>
        </w:rPr>
        <w:t>I.Jurču</w:t>
      </w:r>
      <w:proofErr w:type="spellEnd"/>
      <w:r>
        <w:rPr>
          <w:bCs/>
        </w:rPr>
        <w:t xml:space="preserve"> informēt par </w:t>
      </w:r>
      <w:r w:rsidR="00A861EA">
        <w:rPr>
          <w:bCs/>
        </w:rPr>
        <w:t xml:space="preserve">izskatāmo jautājumu. </w:t>
      </w:r>
    </w:p>
    <w:p w:rsidR="00FD4B13" w:rsidRPr="006C3663" w:rsidRDefault="00FD4B13" w:rsidP="00590387">
      <w:pPr>
        <w:spacing w:line="360" w:lineRule="auto"/>
        <w:jc w:val="both"/>
      </w:pPr>
      <w:proofErr w:type="spellStart"/>
      <w:r w:rsidRPr="008260F4">
        <w:rPr>
          <w:b/>
          <w:bCs/>
        </w:rPr>
        <w:lastRenderedPageBreak/>
        <w:t>I.Jurča</w:t>
      </w:r>
      <w:proofErr w:type="spellEnd"/>
      <w:r>
        <w:rPr>
          <w:bCs/>
        </w:rPr>
        <w:t xml:space="preserve">: </w:t>
      </w:r>
      <w:r w:rsidR="00590387">
        <w:rPr>
          <w:bCs/>
        </w:rPr>
        <w:t xml:space="preserve">informē par </w:t>
      </w:r>
      <w:r w:rsidR="00590387" w:rsidRPr="00590387">
        <w:rPr>
          <w:bCs/>
        </w:rPr>
        <w:t>Korupcijas novēršanas un apkarošanas biroja darbības stratēģijā 2014.-</w:t>
      </w:r>
      <w:proofErr w:type="gramStart"/>
      <w:r w:rsidR="00590387" w:rsidRPr="00590387">
        <w:rPr>
          <w:bCs/>
        </w:rPr>
        <w:t>2016.gadam</w:t>
      </w:r>
      <w:proofErr w:type="gramEnd"/>
      <w:r w:rsidR="00590387" w:rsidRPr="00590387">
        <w:rPr>
          <w:bCs/>
        </w:rPr>
        <w:t xml:space="preserve"> iekļauto uzdevumu izpild</w:t>
      </w:r>
      <w:r w:rsidR="00590387">
        <w:rPr>
          <w:bCs/>
        </w:rPr>
        <w:t>i, īstenojot  darbības virzienu</w:t>
      </w:r>
      <w:r w:rsidR="00590387" w:rsidRPr="00590387">
        <w:rPr>
          <w:bCs/>
        </w:rPr>
        <w:t xml:space="preserve"> „Kompleksa pretdarbība korupcijai (apkarošana un novēršana) un politisko partiju finansēšanas noteikumu izpildes kontrole”</w:t>
      </w:r>
      <w:r w:rsidR="00590387">
        <w:rPr>
          <w:bCs/>
        </w:rPr>
        <w:t xml:space="preserve">. Ir pilnveidots </w:t>
      </w:r>
      <w:r w:rsidR="00590387" w:rsidRPr="00590387">
        <w:rPr>
          <w:bCs/>
        </w:rPr>
        <w:t>krimināltiesiskais un kriminālprocesuālais regulējums</w:t>
      </w:r>
      <w:r w:rsidR="00590387">
        <w:rPr>
          <w:bCs/>
        </w:rPr>
        <w:t xml:space="preserve">. </w:t>
      </w:r>
      <w:r w:rsidR="00590387" w:rsidRPr="00590387">
        <w:rPr>
          <w:bCs/>
        </w:rPr>
        <w:t>KNAB amatpersonas piedalījās TM izveidotajās darba grupās Kriminālprocesa likuma un Krimināllikuma grozījumu izstrādei, apzinot problemātiku un izstrādājot priekšlikumus grozījumiem</w:t>
      </w:r>
      <w:r w:rsidR="00590387">
        <w:rPr>
          <w:bCs/>
        </w:rPr>
        <w:t xml:space="preserve">, tostarp </w:t>
      </w:r>
      <w:r w:rsidR="00590387" w:rsidRPr="00590387">
        <w:rPr>
          <w:bCs/>
        </w:rPr>
        <w:t xml:space="preserve">precizēta valsts amatpersonas definīcija, atbilstoši OECD </w:t>
      </w:r>
      <w:proofErr w:type="spellStart"/>
      <w:r w:rsidR="00590387" w:rsidRPr="00590387">
        <w:rPr>
          <w:bCs/>
        </w:rPr>
        <w:t>Pretkukuļošanas</w:t>
      </w:r>
      <w:proofErr w:type="spellEnd"/>
      <w:r w:rsidR="00590387" w:rsidRPr="00590387">
        <w:rPr>
          <w:bCs/>
        </w:rPr>
        <w:t xml:space="preserve"> konvencijas</w:t>
      </w:r>
      <w:r w:rsidR="00590387">
        <w:rPr>
          <w:bCs/>
        </w:rPr>
        <w:t xml:space="preserve"> prasībām, </w:t>
      </w:r>
      <w:r w:rsidR="00590387" w:rsidRPr="00590387">
        <w:rPr>
          <w:bCs/>
        </w:rPr>
        <w:t>paredz</w:t>
      </w:r>
      <w:r w:rsidR="00590387">
        <w:rPr>
          <w:bCs/>
        </w:rPr>
        <w:t>ēts</w:t>
      </w:r>
      <w:r w:rsidR="00590387" w:rsidRPr="00590387">
        <w:rPr>
          <w:bCs/>
        </w:rPr>
        <w:t xml:space="preserve">, ka par kriminālsodāmu atzīst arī kukuļa došanu un apsolīšanu valsts amatpersonai pēc tā pieprasīšanas (Krimināllikuma </w:t>
      </w:r>
      <w:proofErr w:type="gramStart"/>
      <w:r w:rsidR="00590387" w:rsidRPr="00590387">
        <w:rPr>
          <w:bCs/>
        </w:rPr>
        <w:t>323.panta</w:t>
      </w:r>
      <w:proofErr w:type="gramEnd"/>
      <w:r w:rsidR="00590387" w:rsidRPr="00590387">
        <w:rPr>
          <w:bCs/>
        </w:rPr>
        <w:t xml:space="preserve"> pirmā daļa)</w:t>
      </w:r>
      <w:r w:rsidR="00590387">
        <w:rPr>
          <w:bCs/>
        </w:rPr>
        <w:t>,</w:t>
      </w:r>
      <w:r w:rsidR="00590387" w:rsidRPr="00590387">
        <w:rPr>
          <w:bCs/>
        </w:rPr>
        <w:t xml:space="preserve"> izstrādes procesā</w:t>
      </w:r>
      <w:r w:rsidR="00727A26">
        <w:rPr>
          <w:bCs/>
        </w:rPr>
        <w:t xml:space="preserve"> ir</w:t>
      </w:r>
      <w:r w:rsidR="00590387" w:rsidRPr="00590387">
        <w:rPr>
          <w:bCs/>
        </w:rPr>
        <w:t xml:space="preserve"> </w:t>
      </w:r>
      <w:r w:rsidR="00590387">
        <w:rPr>
          <w:bCs/>
        </w:rPr>
        <w:t>Krimināllikuma 321.panta precizēšana</w:t>
      </w:r>
      <w:r w:rsidR="00590387" w:rsidRPr="00590387">
        <w:rPr>
          <w:bCs/>
        </w:rPr>
        <w:t>, nosakot bargākas sankcijas</w:t>
      </w:r>
      <w:r w:rsidR="00727A26">
        <w:rPr>
          <w:bCs/>
        </w:rPr>
        <w:t xml:space="preserve">, tāpat izstrādēs procesā ir </w:t>
      </w:r>
      <w:r w:rsidR="00590387" w:rsidRPr="00590387">
        <w:rPr>
          <w:bCs/>
        </w:rPr>
        <w:t>jaunu noziedzīgu nodarījumu sastāvu</w:t>
      </w:r>
      <w:r w:rsidR="00727A26" w:rsidRPr="00727A26">
        <w:rPr>
          <w:bCs/>
        </w:rPr>
        <w:t xml:space="preserve"> </w:t>
      </w:r>
      <w:r w:rsidR="00727A26">
        <w:rPr>
          <w:bCs/>
        </w:rPr>
        <w:t>noteikšana</w:t>
      </w:r>
      <w:r w:rsidR="00590387" w:rsidRPr="00590387">
        <w:rPr>
          <w:bCs/>
        </w:rPr>
        <w:t>, paredzot atbildību par prettiesisku rīcību par publiskas personas mantu un noziedzīgu iegūtu līdzekļu legalizāciju</w:t>
      </w:r>
      <w:r w:rsidR="00727A26">
        <w:rPr>
          <w:bCs/>
        </w:rPr>
        <w:t>. N</w:t>
      </w:r>
      <w:r w:rsidR="00590387" w:rsidRPr="00590387">
        <w:rPr>
          <w:bCs/>
        </w:rPr>
        <w:t xml:space="preserve">odrošināta </w:t>
      </w:r>
      <w:r w:rsidR="00727A26">
        <w:rPr>
          <w:bCs/>
        </w:rPr>
        <w:t>arī e</w:t>
      </w:r>
      <w:r w:rsidR="00727A26" w:rsidRPr="00590387">
        <w:rPr>
          <w:bCs/>
        </w:rPr>
        <w:t>fektīva</w:t>
      </w:r>
      <w:r w:rsidR="00590387" w:rsidRPr="00590387">
        <w:rPr>
          <w:bCs/>
        </w:rPr>
        <w:t xml:space="preserve"> piespiedu ietekmēšanas līdzekļu piemērošana juridiskajām personām</w:t>
      </w:r>
      <w:r w:rsidR="00590387">
        <w:rPr>
          <w:bCs/>
        </w:rPr>
        <w:t xml:space="preserve">. </w:t>
      </w:r>
      <w:r w:rsidR="00590387" w:rsidRPr="00590387">
        <w:rPr>
          <w:bCs/>
        </w:rPr>
        <w:t xml:space="preserve"> </w:t>
      </w:r>
    </w:p>
    <w:p w:rsidR="00727A26" w:rsidRDefault="00727A26" w:rsidP="00727A26">
      <w:pPr>
        <w:spacing w:line="360" w:lineRule="auto"/>
        <w:jc w:val="both"/>
        <w:rPr>
          <w:bCs/>
        </w:rPr>
      </w:pPr>
      <w:r>
        <w:rPr>
          <w:bCs/>
        </w:rPr>
        <w:t xml:space="preserve">Ir </w:t>
      </w:r>
      <w:r w:rsidRPr="00727A26">
        <w:rPr>
          <w:bCs/>
        </w:rPr>
        <w:t>Paaugstināta izmeklēšanas procesa kvalitāte</w:t>
      </w:r>
      <w:r>
        <w:rPr>
          <w:bCs/>
        </w:rPr>
        <w:t xml:space="preserve">. </w:t>
      </w:r>
      <w:r w:rsidRPr="00727A26">
        <w:rPr>
          <w:bCs/>
        </w:rPr>
        <w:t>Uzlabotas stratēģiskās un operatīvās analīzes metodes un materiāli tehniskais nodrošinājums</w:t>
      </w:r>
      <w:r>
        <w:rPr>
          <w:bCs/>
        </w:rPr>
        <w:t xml:space="preserve"> (izveidots Analītiskais dienests)</w:t>
      </w:r>
      <w:r w:rsidRPr="00727A26">
        <w:rPr>
          <w:bCs/>
        </w:rPr>
        <w:t>.</w:t>
      </w:r>
      <w:r>
        <w:rPr>
          <w:bCs/>
        </w:rPr>
        <w:t xml:space="preserve"> </w:t>
      </w:r>
      <w:r w:rsidRPr="00727A26">
        <w:rPr>
          <w:bCs/>
        </w:rPr>
        <w:t>Organizētas</w:t>
      </w:r>
      <w:proofErr w:type="gramStart"/>
      <w:r w:rsidRPr="00727A26">
        <w:rPr>
          <w:bCs/>
        </w:rPr>
        <w:t xml:space="preserve">  </w:t>
      </w:r>
      <w:proofErr w:type="gramEnd"/>
      <w:r w:rsidRPr="00727A26">
        <w:rPr>
          <w:bCs/>
        </w:rPr>
        <w:t>revidentu, diplomātu, banku darbinieku apmācības, lai sekmētu ziņošanu par ārvalstu amatpersonu kukuļošanu.</w:t>
      </w:r>
      <w:r>
        <w:rPr>
          <w:bCs/>
        </w:rPr>
        <w:t xml:space="preserve"> </w:t>
      </w:r>
      <w:r w:rsidRPr="00727A26">
        <w:rPr>
          <w:bCs/>
        </w:rPr>
        <w:t>Izmeklējot ārvalstu amatpersonu kukuļošanas lietas, rīkotas apspriedes ar izmeklētājiem un prokuroriem un nodrošināta sistemātiska informācijas apmaiņa par šīm lietām.</w:t>
      </w:r>
      <w:r>
        <w:rPr>
          <w:bCs/>
        </w:rPr>
        <w:t xml:space="preserve"> Rīkotas p</w:t>
      </w:r>
      <w:r w:rsidRPr="00727A26">
        <w:rPr>
          <w:bCs/>
        </w:rPr>
        <w:t>ieredzes apmaiņas tikšanās, piemēram, ar kolēģiem no Lietuvas Īpašās izmeklēšanas dienesta un Igaunijas Drošības dienesta</w:t>
      </w:r>
      <w:r>
        <w:rPr>
          <w:bCs/>
        </w:rPr>
        <w:t>.</w:t>
      </w:r>
    </w:p>
    <w:p w:rsidR="00FD4B13" w:rsidRDefault="00727A26" w:rsidP="00727A26">
      <w:pPr>
        <w:spacing w:line="360" w:lineRule="auto"/>
        <w:jc w:val="both"/>
        <w:rPr>
          <w:bCs/>
        </w:rPr>
      </w:pPr>
      <w:r>
        <w:rPr>
          <w:bCs/>
        </w:rPr>
        <w:t>Stratēģijas uzdevumu izpildes gaitā n</w:t>
      </w:r>
      <w:r w:rsidRPr="00727A26">
        <w:rPr>
          <w:bCs/>
        </w:rPr>
        <w:t>odrošināta KNAB amatpersonu profesionālās kvalifikācijas paaugstināšana un informācijas apmaiņa koruptīvu noziedzīgu nodarījumu izmeklēšanā ar citām institūcijām Latvijā</w:t>
      </w:r>
      <w:r>
        <w:rPr>
          <w:bCs/>
        </w:rPr>
        <w:t xml:space="preserve">. </w:t>
      </w:r>
      <w:r w:rsidRPr="00727A26">
        <w:rPr>
          <w:bCs/>
        </w:rPr>
        <w:t>KNAB darbinieki stratēģijas īstenošanas periodā:</w:t>
      </w:r>
      <w:r>
        <w:rPr>
          <w:bCs/>
        </w:rPr>
        <w:t xml:space="preserve"> </w:t>
      </w:r>
      <w:r w:rsidRPr="00727A26">
        <w:rPr>
          <w:bCs/>
        </w:rPr>
        <w:t>piedalījās apmācībās, t.sk. ASV Federālā izmeklēšanas biroja, Polijas Pretkorupcijas biroja (CBA), Igaunijas Tieslietu ministrijas, Ukrainas Valsts Finanšu uzraudzības dienesta, Eiropas Komisijas rīkotajās apmācībās;</w:t>
      </w:r>
      <w:r>
        <w:rPr>
          <w:bCs/>
        </w:rPr>
        <w:t xml:space="preserve"> </w:t>
      </w:r>
      <w:r w:rsidRPr="00727A26">
        <w:rPr>
          <w:bCs/>
        </w:rPr>
        <w:t xml:space="preserve">nodrošināja informācijas apmaiņu ar tādām tiesību aizsardzības iestādēm Latvijā, kā Iekšējās drošības birojs, Finanšu pārvaldes Iekšējais drošības birojs, Robežsardze, Valsts Policija, Drošības policija, Militārais izlūkošanas un drošības dienests un Satversmes aizsardzības birojs. </w:t>
      </w:r>
    </w:p>
    <w:p w:rsidR="00727A26" w:rsidRDefault="00727A26" w:rsidP="00191F0C">
      <w:pPr>
        <w:spacing w:line="360" w:lineRule="auto"/>
        <w:jc w:val="both"/>
        <w:rPr>
          <w:bCs/>
        </w:rPr>
      </w:pPr>
      <w:r>
        <w:rPr>
          <w:bCs/>
        </w:rPr>
        <w:t>Informē par Biroja</w:t>
      </w:r>
      <w:proofErr w:type="gramStart"/>
      <w:r>
        <w:rPr>
          <w:bCs/>
        </w:rPr>
        <w:t xml:space="preserve"> </w:t>
      </w:r>
      <w:r w:rsidRPr="00727A26">
        <w:rPr>
          <w:bCs/>
        </w:rPr>
        <w:t xml:space="preserve"> </w:t>
      </w:r>
      <w:proofErr w:type="gramEnd"/>
      <w:r>
        <w:rPr>
          <w:bCs/>
        </w:rPr>
        <w:t>i</w:t>
      </w:r>
      <w:r w:rsidRPr="00727A26">
        <w:rPr>
          <w:bCs/>
        </w:rPr>
        <w:t>zstrādāti</w:t>
      </w:r>
      <w:r w:rsidR="00191F0C">
        <w:rPr>
          <w:bCs/>
        </w:rPr>
        <w:t>em</w:t>
      </w:r>
      <w:r w:rsidRPr="00727A26">
        <w:rPr>
          <w:bCs/>
        </w:rPr>
        <w:t xml:space="preserve"> grozījumi</w:t>
      </w:r>
      <w:r w:rsidR="00191F0C">
        <w:rPr>
          <w:bCs/>
        </w:rPr>
        <w:t>em</w:t>
      </w:r>
      <w:r w:rsidRPr="00727A26">
        <w:rPr>
          <w:bCs/>
        </w:rPr>
        <w:t xml:space="preserve"> normatīvajos aktos</w:t>
      </w:r>
      <w:r>
        <w:rPr>
          <w:bCs/>
        </w:rPr>
        <w:t xml:space="preserve"> un to virz</w:t>
      </w:r>
      <w:r w:rsidR="00191F0C">
        <w:rPr>
          <w:bCs/>
        </w:rPr>
        <w:t xml:space="preserve">ību, tostarp grozījumiem </w:t>
      </w:r>
      <w:r w:rsidR="00191F0C" w:rsidRPr="00191F0C">
        <w:rPr>
          <w:bCs/>
        </w:rPr>
        <w:t>Valsts pārvaldes iekārtas likumā (saskaņošanas procesā);</w:t>
      </w:r>
      <w:r w:rsidR="00191F0C">
        <w:rPr>
          <w:bCs/>
        </w:rPr>
        <w:t xml:space="preserve"> </w:t>
      </w:r>
      <w:r w:rsidR="00191F0C" w:rsidRPr="00191F0C">
        <w:rPr>
          <w:bCs/>
        </w:rPr>
        <w:t>Saeimas kārtības rullī (saskaņošanas procesā);</w:t>
      </w:r>
      <w:r w:rsidR="00191F0C">
        <w:rPr>
          <w:bCs/>
        </w:rPr>
        <w:t xml:space="preserve"> </w:t>
      </w:r>
      <w:r w:rsidR="00191F0C" w:rsidRPr="00191F0C">
        <w:rPr>
          <w:bCs/>
        </w:rPr>
        <w:t>likumā «Par interešu konflikta novēršanu valsts amatpersonu darbībā»</w:t>
      </w:r>
      <w:r w:rsidRPr="00191F0C">
        <w:rPr>
          <w:bCs/>
        </w:rPr>
        <w:t xml:space="preserve"> </w:t>
      </w:r>
      <w:r w:rsidR="00191F0C">
        <w:rPr>
          <w:bCs/>
        </w:rPr>
        <w:t>.</w:t>
      </w:r>
      <w:r w:rsidR="00191F0C" w:rsidRPr="00191F0C">
        <w:t xml:space="preserve"> </w:t>
      </w:r>
      <w:r w:rsidR="00191F0C" w:rsidRPr="00191F0C">
        <w:rPr>
          <w:bCs/>
        </w:rPr>
        <w:t>KNAB Saeimas Valsts pārvaldes un pašvaldības komisijas izveidotajā darba grupā sniedza savu redzējumu par likumā noteikto amatu savienošanas ierobežojumu</w:t>
      </w:r>
      <w:proofErr w:type="gramStart"/>
      <w:r w:rsidR="00191F0C" w:rsidRPr="00191F0C">
        <w:rPr>
          <w:bCs/>
        </w:rPr>
        <w:t xml:space="preserve">  </w:t>
      </w:r>
      <w:proofErr w:type="gramEnd"/>
      <w:r w:rsidR="00191F0C" w:rsidRPr="00191F0C">
        <w:rPr>
          <w:bCs/>
        </w:rPr>
        <w:t>precizēšanu un pilnveidošanu, kā arī par publiskas personas institūciju vadītāju pilnvaru būtisku paplašināšanu</w:t>
      </w:r>
      <w:r w:rsidR="00191F0C">
        <w:rPr>
          <w:bCs/>
        </w:rPr>
        <w:t>.</w:t>
      </w:r>
    </w:p>
    <w:p w:rsidR="00191F0C" w:rsidRDefault="00191F0C" w:rsidP="00191F0C">
      <w:pPr>
        <w:spacing w:line="360" w:lineRule="auto"/>
        <w:jc w:val="both"/>
        <w:rPr>
          <w:bCs/>
        </w:rPr>
      </w:pPr>
      <w:r>
        <w:rPr>
          <w:bCs/>
        </w:rPr>
        <w:t>S</w:t>
      </w:r>
      <w:r w:rsidRPr="00191F0C">
        <w:rPr>
          <w:bCs/>
        </w:rPr>
        <w:t>tratēģijas īstenošanas periodā</w:t>
      </w:r>
      <w:r>
        <w:rPr>
          <w:bCs/>
        </w:rPr>
        <w:t xml:space="preserve"> u</w:t>
      </w:r>
      <w:r w:rsidRPr="00191F0C">
        <w:rPr>
          <w:bCs/>
        </w:rPr>
        <w:t>zlabota priekšvēlēšanu aģitācijas kontroles kvalitāte</w:t>
      </w:r>
      <w:r>
        <w:rPr>
          <w:bCs/>
        </w:rPr>
        <w:t>. P</w:t>
      </w:r>
      <w:r w:rsidRPr="00191F0C">
        <w:rPr>
          <w:bCs/>
        </w:rPr>
        <w:t>amatojoties uz priekšvēlēšanu aģitācijas apmēra ierobežojumu kontroles rezultātu analīzi, tika veikti grozījumi Pr</w:t>
      </w:r>
      <w:r>
        <w:rPr>
          <w:bCs/>
        </w:rPr>
        <w:t>iekšvēlēšanu aģitācijas likumā,</w:t>
      </w:r>
      <w:r w:rsidRPr="00191F0C">
        <w:rPr>
          <w:bCs/>
        </w:rPr>
        <w:t xml:space="preserve"> </w:t>
      </w:r>
      <w:r w:rsidR="004B43B5">
        <w:rPr>
          <w:bCs/>
        </w:rPr>
        <w:t xml:space="preserve">kā arī ir izstrādāti grozījumi, kas </w:t>
      </w:r>
      <w:r w:rsidRPr="00191F0C">
        <w:rPr>
          <w:bCs/>
        </w:rPr>
        <w:t xml:space="preserve">saistīti ar </w:t>
      </w:r>
      <w:r w:rsidRPr="00191F0C">
        <w:rPr>
          <w:bCs/>
        </w:rPr>
        <w:lastRenderedPageBreak/>
        <w:t>priekšvēlēšanu aģitācijas izvietošanas</w:t>
      </w:r>
      <w:r w:rsidR="004B43B5" w:rsidRPr="00191F0C">
        <w:rPr>
          <w:bCs/>
        </w:rPr>
        <w:t xml:space="preserve"> </w:t>
      </w:r>
      <w:r w:rsidRPr="00191F0C">
        <w:rPr>
          <w:bCs/>
        </w:rPr>
        <w:t>ierobežojumu noteikšanu reklāmas pakalpojumu sniedzējiem, kuri piedāvā izvietot tos publiskajās vietās, kā arī precizēta norma saistībā ar aizliegumu dienu pirms vēlēšanām un vēlēšanu dienā izvietot un izplatīt apmaksātu priekšvēlēšanu aģitāciju.</w:t>
      </w:r>
      <w:r w:rsidR="004B43B5">
        <w:rPr>
          <w:bCs/>
        </w:rPr>
        <w:t xml:space="preserve"> I</w:t>
      </w:r>
      <w:r w:rsidRPr="00191F0C">
        <w:rPr>
          <w:bCs/>
        </w:rPr>
        <w:t>zveidota veiksmīga sadarbība ar citām tiesībsargājošām institūcijām, kā arī  pirms katrām vēlēšanām organizēts ārpakalpojums par priekšvēlēšanu aģitācijas un slēptās aģ</w:t>
      </w:r>
      <w:r w:rsidR="004B43B5">
        <w:rPr>
          <w:bCs/>
        </w:rPr>
        <w:t>itācijas neatkarīgu monitoringu.</w:t>
      </w:r>
    </w:p>
    <w:p w:rsidR="004B43B5" w:rsidRDefault="004B43B5" w:rsidP="004B43B5">
      <w:pPr>
        <w:spacing w:line="360" w:lineRule="auto"/>
        <w:jc w:val="both"/>
        <w:rPr>
          <w:bCs/>
        </w:rPr>
      </w:pPr>
      <w:r w:rsidRPr="004B43B5">
        <w:rPr>
          <w:bCs/>
        </w:rPr>
        <w:t>Pilnveidots politisko partiju finansēšanas likumības uzraudzības ietvars</w:t>
      </w:r>
      <w:r>
        <w:rPr>
          <w:bCs/>
        </w:rPr>
        <w:t>. N</w:t>
      </w:r>
      <w:r w:rsidRPr="004B43B5">
        <w:rPr>
          <w:bCs/>
        </w:rPr>
        <w:t>odrošināts politisko organizāciju (partiju) finansiālās darbības atklātums, paredzot vieglākas sankcijas Politisko partiju finansēšanas kontroles jomā par maznozīmīgiem administratīvajiem pārkāpumiem, tādējā</w:t>
      </w:r>
      <w:r>
        <w:rPr>
          <w:bCs/>
        </w:rPr>
        <w:t>di mazinot administratīvo slogu. I</w:t>
      </w:r>
      <w:r w:rsidRPr="004B43B5">
        <w:rPr>
          <w:bCs/>
        </w:rPr>
        <w:t>zvērtēts Politisko organizāciju finansēšanas likuma tiesiskais regulējums un līdz ar grozījumiem par jauno ar automātiskās ievadīšanas sistēmas ieviešanu tika sniegti priekšlikumi "mazo ziedojumu" atbalstam</w:t>
      </w:r>
      <w:proofErr w:type="gramStart"/>
      <w:r w:rsidRPr="004B43B5">
        <w:rPr>
          <w:bCs/>
        </w:rPr>
        <w:t xml:space="preserve"> </w:t>
      </w:r>
      <w:r>
        <w:rPr>
          <w:bCs/>
        </w:rPr>
        <w:t>.</w:t>
      </w:r>
      <w:proofErr w:type="gramEnd"/>
      <w:r>
        <w:rPr>
          <w:bCs/>
        </w:rPr>
        <w:t xml:space="preserve"> O</w:t>
      </w:r>
      <w:r w:rsidRPr="004B43B5">
        <w:rPr>
          <w:bCs/>
        </w:rPr>
        <w:t>rganizēti izglītojošie semināri politiskajām partijām, mediju pārstāvjiem un publiskas personas institūciju pārstāvjiem ar mērķi veicināt vienotu izpratni par priekšvēlēšanu aģitācijas un p</w:t>
      </w:r>
      <w:r>
        <w:rPr>
          <w:bCs/>
        </w:rPr>
        <w:t>artiju finansēšanas jautājumiem. I</w:t>
      </w:r>
      <w:r w:rsidRPr="004B43B5">
        <w:rPr>
          <w:bCs/>
        </w:rPr>
        <w:t xml:space="preserve">zstrādes procesā </w:t>
      </w:r>
      <w:r>
        <w:rPr>
          <w:bCs/>
        </w:rPr>
        <w:t xml:space="preserve">ir </w:t>
      </w:r>
      <w:r w:rsidRPr="004B43B5">
        <w:rPr>
          <w:bCs/>
        </w:rPr>
        <w:t>elektroniskā politisko partiju finanšu datu sistēma, kas sevī ietver politisko partiju finanšu datu bāzi ar datu automātiskās ielasīšanas sistēmu, un datu ievades un apstrādes sistēmu.</w:t>
      </w:r>
    </w:p>
    <w:p w:rsidR="004B43B5" w:rsidRDefault="004B43B5" w:rsidP="004B43B5">
      <w:pPr>
        <w:spacing w:line="360" w:lineRule="auto"/>
        <w:jc w:val="both"/>
        <w:rPr>
          <w:bCs/>
        </w:rPr>
      </w:pPr>
      <w:r w:rsidRPr="004B43B5">
        <w:rPr>
          <w:bCs/>
        </w:rPr>
        <w:t>Izstrādātas Korupcijas novēršanas un apkarošanas pamatnostādnes 2015.-2020.</w:t>
      </w:r>
      <w:r w:rsidR="002904A9">
        <w:rPr>
          <w:bCs/>
        </w:rPr>
        <w:t xml:space="preserve"> </w:t>
      </w:r>
      <w:r w:rsidRPr="004B43B5">
        <w:rPr>
          <w:bCs/>
        </w:rPr>
        <w:t>gadam</w:t>
      </w:r>
      <w:r>
        <w:rPr>
          <w:bCs/>
        </w:rPr>
        <w:t xml:space="preserve">, </w:t>
      </w:r>
      <w:r w:rsidRPr="004B43B5">
        <w:rPr>
          <w:bCs/>
        </w:rPr>
        <w:t>ņem</w:t>
      </w:r>
      <w:r>
        <w:rPr>
          <w:bCs/>
        </w:rPr>
        <w:t xml:space="preserve">ot </w:t>
      </w:r>
      <w:r w:rsidRPr="004B43B5">
        <w:rPr>
          <w:bCs/>
        </w:rPr>
        <w:t>vērā arī dažādos analītiskajos ziņojumos izteiktās rekomendācijas par nepieciešamajiem uzlabojumiem, tai skaitā arī KNAB veikto pārbaužu un izmeklēto krimināllietu ietvaros konstatēt</w:t>
      </w:r>
      <w:r>
        <w:rPr>
          <w:bCs/>
        </w:rPr>
        <w:t>o</w:t>
      </w:r>
      <w:r w:rsidRPr="004B43B5">
        <w:rPr>
          <w:bCs/>
        </w:rPr>
        <w:t>.</w:t>
      </w:r>
      <w:r>
        <w:rPr>
          <w:bCs/>
        </w:rPr>
        <w:t xml:space="preserve"> </w:t>
      </w:r>
      <w:r w:rsidRPr="004B43B5">
        <w:rPr>
          <w:bCs/>
        </w:rPr>
        <w:t>Astoņu apakšmērķu sasniegšanai ir izstrādāts uzdevumu un pasākumu plāns, kas paredz īstenot 135 pasākumus, t.sk. grozījumus tiesību aktos, institūciju funkciju uzlabošanu, iniciatīvas, kas vērstas uz zināšanu apguvi un izpratnes veicināšanu par pretkorupcijas politiku.</w:t>
      </w:r>
      <w:r>
        <w:rPr>
          <w:bCs/>
        </w:rPr>
        <w:t xml:space="preserve"> </w:t>
      </w:r>
    </w:p>
    <w:p w:rsidR="004B43B5" w:rsidRDefault="004B43B5" w:rsidP="006767B5">
      <w:pPr>
        <w:spacing w:line="360" w:lineRule="auto"/>
        <w:jc w:val="both"/>
        <w:rPr>
          <w:bCs/>
        </w:rPr>
      </w:pPr>
      <w:r>
        <w:rPr>
          <w:bCs/>
        </w:rPr>
        <w:t>Ir i</w:t>
      </w:r>
      <w:r w:rsidRPr="004B43B5">
        <w:rPr>
          <w:bCs/>
        </w:rPr>
        <w:t>zstrādāti un ieviesti efektīvi sabiedrības un valsts amatpersonu izglītošanas un informēšanas instrumenti</w:t>
      </w:r>
      <w:r>
        <w:rPr>
          <w:bCs/>
        </w:rPr>
        <w:t xml:space="preserve"> – ieviests </w:t>
      </w:r>
      <w:proofErr w:type="spellStart"/>
      <w:r w:rsidRPr="004B43B5">
        <w:rPr>
          <w:bCs/>
        </w:rPr>
        <w:t>Tālākizglītotāju</w:t>
      </w:r>
      <w:proofErr w:type="spellEnd"/>
      <w:r w:rsidRPr="004B43B5">
        <w:rPr>
          <w:bCs/>
        </w:rPr>
        <w:t xml:space="preserve"> apmācības modelis</w:t>
      </w:r>
      <w:r w:rsidR="006767B5">
        <w:rPr>
          <w:bCs/>
        </w:rPr>
        <w:t xml:space="preserve">. </w:t>
      </w:r>
      <w:r w:rsidR="006767B5" w:rsidRPr="006767B5">
        <w:rPr>
          <w:bCs/>
        </w:rPr>
        <w:t xml:space="preserve">No </w:t>
      </w:r>
      <w:proofErr w:type="gramStart"/>
      <w:r w:rsidR="006767B5" w:rsidRPr="006767B5">
        <w:rPr>
          <w:bCs/>
        </w:rPr>
        <w:t>2014. – 2016.</w:t>
      </w:r>
      <w:proofErr w:type="gramEnd"/>
      <w:r w:rsidR="006767B5" w:rsidRPr="006767B5">
        <w:rPr>
          <w:bCs/>
        </w:rPr>
        <w:t xml:space="preserve">gadam sagatavoti 112 </w:t>
      </w:r>
      <w:proofErr w:type="spellStart"/>
      <w:r w:rsidR="006767B5" w:rsidRPr="006767B5">
        <w:rPr>
          <w:bCs/>
        </w:rPr>
        <w:t>tālākizglītotāji</w:t>
      </w:r>
      <w:proofErr w:type="spellEnd"/>
      <w:r w:rsidR="006767B5" w:rsidRPr="006767B5">
        <w:rPr>
          <w:bCs/>
        </w:rPr>
        <w:t xml:space="preserve"> no vairāk kā 60 institūcijām, t.sk. 8 lielākajām pašvaldībām.</w:t>
      </w:r>
      <w:r w:rsidR="006767B5">
        <w:rPr>
          <w:bCs/>
        </w:rPr>
        <w:t xml:space="preserve"> </w:t>
      </w:r>
      <w:r w:rsidR="006767B5" w:rsidRPr="006767B5">
        <w:rPr>
          <w:bCs/>
        </w:rPr>
        <w:t xml:space="preserve">Sākot no </w:t>
      </w:r>
      <w:proofErr w:type="gramStart"/>
      <w:r w:rsidR="006767B5" w:rsidRPr="006767B5">
        <w:rPr>
          <w:bCs/>
        </w:rPr>
        <w:t>2014.gada</w:t>
      </w:r>
      <w:proofErr w:type="gramEnd"/>
      <w:r w:rsidR="006767B5" w:rsidRPr="006767B5">
        <w:rPr>
          <w:bCs/>
        </w:rPr>
        <w:t xml:space="preserve"> novembra amatpersonu zināšanu pārbaude notiek papīra formā semināru noslēgumā. Dati tiek apkopoti, salīdzināti, analizēti un izmantoti mācību satura plānošanā.</w:t>
      </w:r>
      <w:r w:rsidR="006767B5">
        <w:rPr>
          <w:bCs/>
        </w:rPr>
        <w:t xml:space="preserve"> Zināšanu testēšanas rezultāti ir labi, 82% testējamo uzdevumus ir veikuši sekmīgi. </w:t>
      </w:r>
      <w:r w:rsidR="006767B5" w:rsidRPr="006767B5">
        <w:rPr>
          <w:bCs/>
        </w:rPr>
        <w:t>Sadarbībā ar Valsts administrācijas skolu, ESF</w:t>
      </w:r>
      <w:proofErr w:type="gramStart"/>
      <w:r w:rsidR="006767B5" w:rsidRPr="006767B5">
        <w:rPr>
          <w:bCs/>
        </w:rPr>
        <w:t xml:space="preserve">  </w:t>
      </w:r>
      <w:proofErr w:type="gramEnd"/>
      <w:r w:rsidR="006767B5" w:rsidRPr="006767B5">
        <w:rPr>
          <w:bCs/>
        </w:rPr>
        <w:t>projekta "Valsts pārvaldes cilvēkresursu profesionālā pilnveide korupcijas novēršanas un ēnu ekonomikas mazināšanas jomās" ietvaros ir uzsākts darbs, lai projekta Mācību vadības platformā tiktu iestrādāta iespēja testēt amatpersonu zināšanas elektroniski</w:t>
      </w:r>
      <w:r w:rsidR="006767B5">
        <w:rPr>
          <w:bCs/>
        </w:rPr>
        <w:t>.</w:t>
      </w:r>
    </w:p>
    <w:p w:rsidR="006767B5" w:rsidRDefault="006767B5" w:rsidP="006767B5">
      <w:pPr>
        <w:spacing w:line="360" w:lineRule="auto"/>
        <w:jc w:val="both"/>
        <w:rPr>
          <w:bCs/>
        </w:rPr>
      </w:pPr>
      <w:r w:rsidRPr="006767B5">
        <w:rPr>
          <w:bCs/>
        </w:rPr>
        <w:t>Nodrošināta līdzdalība OECD darba grupās un komitejās, ANO, GRECO un citās nozīmīgākajās starptautiskajās organizācijās, ieviešot to rekomendācijas un īstenojot starptautiskās saistības</w:t>
      </w:r>
      <w:r>
        <w:rPr>
          <w:bCs/>
        </w:rPr>
        <w:t>.</w:t>
      </w:r>
    </w:p>
    <w:p w:rsidR="006767B5" w:rsidRPr="006767B5" w:rsidRDefault="006767B5" w:rsidP="006767B5">
      <w:pPr>
        <w:spacing w:line="360" w:lineRule="auto"/>
        <w:jc w:val="both"/>
        <w:rPr>
          <w:bCs/>
        </w:rPr>
      </w:pPr>
      <w:r>
        <w:rPr>
          <w:bCs/>
        </w:rPr>
        <w:t>Stratēģijas īstenošana gaitā u</w:t>
      </w:r>
      <w:r w:rsidRPr="006767B5">
        <w:rPr>
          <w:bCs/>
        </w:rPr>
        <w:t>zlabotas KNAB darbības spējas</w:t>
      </w:r>
      <w:r>
        <w:rPr>
          <w:bCs/>
        </w:rPr>
        <w:t>, tostarp v</w:t>
      </w:r>
      <w:r w:rsidRPr="006767B5">
        <w:rPr>
          <w:bCs/>
        </w:rPr>
        <w:t>eikti būtiski grozījumi Korupcijas novēršanas un apkarošanas biroja likumā</w:t>
      </w:r>
      <w:proofErr w:type="gramStart"/>
      <w:r w:rsidRPr="006767B5">
        <w:rPr>
          <w:bCs/>
        </w:rPr>
        <w:t xml:space="preserve"> </w:t>
      </w:r>
      <w:r>
        <w:rPr>
          <w:bCs/>
        </w:rPr>
        <w:t>,</w:t>
      </w:r>
      <w:r w:rsidRPr="006767B5">
        <w:rPr>
          <w:bCs/>
        </w:rPr>
        <w:t xml:space="preserve"> </w:t>
      </w:r>
      <w:proofErr w:type="gramEnd"/>
      <w:r w:rsidRPr="006767B5">
        <w:rPr>
          <w:bCs/>
        </w:rPr>
        <w:t>kuru rezultātā notika KNAB nodarbināto statusa maiņa, proti, notika pāreja no darba tiesiskajām uz valsts dienesta tiesiskajām attiecībām.</w:t>
      </w:r>
    </w:p>
    <w:p w:rsidR="006767B5" w:rsidRDefault="006767B5" w:rsidP="006767B5">
      <w:pPr>
        <w:spacing w:line="360" w:lineRule="auto"/>
        <w:jc w:val="both"/>
        <w:rPr>
          <w:bCs/>
        </w:rPr>
      </w:pPr>
      <w:r w:rsidRPr="006767B5">
        <w:rPr>
          <w:bCs/>
        </w:rPr>
        <w:lastRenderedPageBreak/>
        <w:t>Esošā budžeta un amata štata vietu ietvaros veiktas strukturālas izmaiņas:</w:t>
      </w:r>
      <w:r>
        <w:rPr>
          <w:bCs/>
        </w:rPr>
        <w:t xml:space="preserve"> </w:t>
      </w:r>
      <w:r w:rsidRPr="006767B5">
        <w:rPr>
          <w:bCs/>
        </w:rPr>
        <w:t>izveidota Politikas plānošanas nodaļa</w:t>
      </w:r>
      <w:r>
        <w:rPr>
          <w:bCs/>
        </w:rPr>
        <w:t>,</w:t>
      </w:r>
      <w:r w:rsidRPr="006767B5">
        <w:rPr>
          <w:bCs/>
        </w:rPr>
        <w:t xml:space="preserve"> Sekretariāts</w:t>
      </w:r>
      <w:r>
        <w:rPr>
          <w:bCs/>
        </w:rPr>
        <w:t xml:space="preserve"> un </w:t>
      </w:r>
      <w:r w:rsidRPr="006767B5">
        <w:rPr>
          <w:bCs/>
        </w:rPr>
        <w:t>Informācijas analīzes nodaļa</w:t>
      </w:r>
      <w:r>
        <w:rPr>
          <w:bCs/>
        </w:rPr>
        <w:t xml:space="preserve">. </w:t>
      </w:r>
      <w:r w:rsidRPr="006767B5">
        <w:rPr>
          <w:bCs/>
        </w:rPr>
        <w:t xml:space="preserve">Pārskatītas KNAB </w:t>
      </w:r>
      <w:proofErr w:type="gramStart"/>
      <w:r w:rsidRPr="006767B5">
        <w:rPr>
          <w:bCs/>
        </w:rPr>
        <w:t>nodarbināto mēnešalgas atbilstoši atbildības</w:t>
      </w:r>
      <w:proofErr w:type="gramEnd"/>
      <w:r w:rsidRPr="006767B5">
        <w:rPr>
          <w:bCs/>
        </w:rPr>
        <w:t xml:space="preserve"> un amata pienākumu sarežģītības pakāpei</w:t>
      </w:r>
      <w:r w:rsidR="00E86291">
        <w:rPr>
          <w:bCs/>
        </w:rPr>
        <w:t>. Norāda uz KNAB darbinieku zemo atalgojumu salīdzinājumā ar citām tiesībsargājošām iestādēm.</w:t>
      </w:r>
      <w:r>
        <w:rPr>
          <w:bCs/>
        </w:rPr>
        <w:t xml:space="preserve"> </w:t>
      </w:r>
    </w:p>
    <w:p w:rsidR="00E86291" w:rsidRDefault="00E86291" w:rsidP="00E86291">
      <w:pPr>
        <w:spacing w:line="360" w:lineRule="auto"/>
        <w:jc w:val="both"/>
        <w:rPr>
          <w:bCs/>
        </w:rPr>
      </w:pPr>
      <w:r>
        <w:rPr>
          <w:bCs/>
        </w:rPr>
        <w:t xml:space="preserve">Nosauc KNAB </w:t>
      </w:r>
      <w:r w:rsidR="0062665F" w:rsidRPr="0062665F">
        <w:rPr>
          <w:bCs/>
        </w:rPr>
        <w:t>Korupcijas novēršanas un apkarošanas biroja darbības stratēģijas</w:t>
      </w:r>
      <w:proofErr w:type="gramStart"/>
      <w:r w:rsidR="0062665F" w:rsidRPr="0062665F">
        <w:rPr>
          <w:bCs/>
        </w:rPr>
        <w:t xml:space="preserve">  </w:t>
      </w:r>
      <w:proofErr w:type="gramEnd"/>
      <w:r w:rsidR="0062665F" w:rsidRPr="0062665F">
        <w:rPr>
          <w:bCs/>
        </w:rPr>
        <w:t>2017.-2019.gadam</w:t>
      </w:r>
      <w:r w:rsidR="0062665F">
        <w:rPr>
          <w:bCs/>
        </w:rPr>
        <w:t xml:space="preserve"> </w:t>
      </w:r>
      <w:proofErr w:type="spellStart"/>
      <w:r w:rsidR="0062665F">
        <w:rPr>
          <w:bCs/>
        </w:rPr>
        <w:t>prioritates</w:t>
      </w:r>
      <w:proofErr w:type="spellEnd"/>
      <w:r w:rsidRPr="0062665F">
        <w:rPr>
          <w:bCs/>
        </w:rPr>
        <w:t>:</w:t>
      </w:r>
      <w:r>
        <w:rPr>
          <w:bCs/>
        </w:rPr>
        <w:t xml:space="preserve"> (1) m</w:t>
      </w:r>
      <w:r w:rsidRPr="00E86291">
        <w:rPr>
          <w:bCs/>
        </w:rPr>
        <w:t xml:space="preserve">azināt  interešu konfliktu un prettiesiskas rīcības ar  publiskas personas mantu un finanšu līdzekļiem iespējamību, kā arī izskaust koruptīvus noziedzīgus nodarījumus publiskas personas institūcijās, tai skaitā tiesu varas institūcijās, un nodrošināt efektīvu politisko organizāciju (partiju) un to </w:t>
      </w:r>
      <w:r>
        <w:rPr>
          <w:bCs/>
        </w:rPr>
        <w:t xml:space="preserve">apvienību finansēšanas kontroli,  tostarp </w:t>
      </w:r>
      <w:r w:rsidRPr="00E86291">
        <w:rPr>
          <w:bCs/>
        </w:rPr>
        <w:t>identificēt un izskaust prettiesisku starpnieku izmantošanu ziedojumiem partijām un atklāt partiju nelegālos finan</w:t>
      </w:r>
      <w:r>
        <w:rPr>
          <w:bCs/>
        </w:rPr>
        <w:t xml:space="preserve">sēšanas avotus (“melnās kases”); (2) </w:t>
      </w:r>
      <w:r w:rsidRPr="00E86291">
        <w:rPr>
          <w:bCs/>
        </w:rPr>
        <w:t>Nodrošināt Korupcijas novēršanas un apkarošanas pamatnostādnēs 2015.- 2020.gadam iekļauto uzdevumu un starptautisko organizāciju sniegto rekomendāciju izpildi, īpaši fokusējot darbību uz informatīvo pasākumu organizēšanu Latvijas uzņēmējiem par  iekšējās kontroles lomu korupcijas novēršanā</w:t>
      </w:r>
      <w:r>
        <w:rPr>
          <w:bCs/>
        </w:rPr>
        <w:t>; (3) s</w:t>
      </w:r>
      <w:r w:rsidRPr="00E86291">
        <w:rPr>
          <w:bCs/>
        </w:rPr>
        <w:t>tiprināt KNAB kapacitāti, nodrošinot darbinieku kvalifikācijas celšanu sarežģītu finanšu darījumu un ārvalstu amatpersonu kukuļošanas izmeklēšanā</w:t>
      </w:r>
      <w:r>
        <w:rPr>
          <w:bCs/>
        </w:rPr>
        <w:t>.</w:t>
      </w:r>
      <w:r w:rsidR="0062665F">
        <w:rPr>
          <w:bCs/>
        </w:rPr>
        <w:t xml:space="preserve">  Informē, ka minētā stratēģija tika iesniegta MK, taču Ministru prezidents to atsūtīja atpakaļ to jautājumu pilnveidošanai, kas tieši skar stratēģijas izpildi un KNAB darbību. Grib sagaidīt jaunās</w:t>
      </w:r>
      <w:r w:rsidR="00337E5C">
        <w:rPr>
          <w:bCs/>
        </w:rPr>
        <w:t xml:space="preserve"> </w:t>
      </w:r>
      <w:r w:rsidR="0062665F">
        <w:rPr>
          <w:bCs/>
        </w:rPr>
        <w:t xml:space="preserve">KNAB vadības iecelšanu, </w:t>
      </w:r>
      <w:r w:rsidR="00337E5C">
        <w:rPr>
          <w:bCs/>
        </w:rPr>
        <w:t>tad pilnveidos</w:t>
      </w:r>
      <w:r w:rsidR="0062665F">
        <w:rPr>
          <w:bCs/>
        </w:rPr>
        <w:t xml:space="preserve">. </w:t>
      </w:r>
    </w:p>
    <w:p w:rsidR="00E86291" w:rsidRDefault="00E86291" w:rsidP="00E86291">
      <w:pPr>
        <w:spacing w:line="360" w:lineRule="auto"/>
        <w:jc w:val="both"/>
        <w:rPr>
          <w:bCs/>
        </w:rPr>
      </w:pPr>
      <w:r w:rsidRPr="00E86291">
        <w:rPr>
          <w:b/>
          <w:bCs/>
        </w:rPr>
        <w:t>A.Loskutovs</w:t>
      </w:r>
      <w:r>
        <w:rPr>
          <w:bCs/>
        </w:rPr>
        <w:t>: jautā, vai apkarošanas bloka darbinieki zemā atalgojuma dēļ</w:t>
      </w:r>
      <w:r w:rsidR="00036103">
        <w:rPr>
          <w:bCs/>
        </w:rPr>
        <w:t xml:space="preserve"> </w:t>
      </w:r>
      <w:r>
        <w:rPr>
          <w:bCs/>
        </w:rPr>
        <w:t>pārbēg uz citām iestādēm.</w:t>
      </w:r>
    </w:p>
    <w:p w:rsidR="00036103" w:rsidRDefault="00036103" w:rsidP="00E86291">
      <w:pPr>
        <w:spacing w:line="360" w:lineRule="auto"/>
        <w:jc w:val="both"/>
        <w:rPr>
          <w:bCs/>
        </w:rPr>
      </w:pPr>
      <w:proofErr w:type="spellStart"/>
      <w:r w:rsidRPr="00036103">
        <w:rPr>
          <w:b/>
          <w:bCs/>
        </w:rPr>
        <w:t>I.Jurča</w:t>
      </w:r>
      <w:proofErr w:type="spellEnd"/>
      <w:r>
        <w:rPr>
          <w:bCs/>
        </w:rPr>
        <w:t xml:space="preserve">: skaidro, ka KNAB darbinieku atalgojums ir par 20% zemāks nekā Valsts policijā strādājošiem. Iespējama veselas </w:t>
      </w:r>
      <w:r w:rsidR="0062665F">
        <w:rPr>
          <w:bCs/>
        </w:rPr>
        <w:t xml:space="preserve">darbinieku </w:t>
      </w:r>
      <w:r>
        <w:rPr>
          <w:bCs/>
        </w:rPr>
        <w:t xml:space="preserve">grupas </w:t>
      </w:r>
      <w:r w:rsidR="0062665F">
        <w:rPr>
          <w:bCs/>
        </w:rPr>
        <w:t>pārvilināšana</w:t>
      </w:r>
      <w:r>
        <w:rPr>
          <w:bCs/>
        </w:rPr>
        <w:t xml:space="preserve"> uz citu labāk atalgotu vietu. </w:t>
      </w:r>
      <w:r w:rsidR="0062665F">
        <w:rPr>
          <w:bCs/>
        </w:rPr>
        <w:t>N</w:t>
      </w:r>
      <w:r w:rsidR="00353288">
        <w:rPr>
          <w:bCs/>
        </w:rPr>
        <w:t xml:space="preserve">orāda uz risku zaudēt darbiniekus </w:t>
      </w:r>
      <w:r w:rsidR="00826802">
        <w:rPr>
          <w:bCs/>
        </w:rPr>
        <w:t xml:space="preserve">tieši </w:t>
      </w:r>
      <w:r w:rsidR="00353288">
        <w:rPr>
          <w:bCs/>
        </w:rPr>
        <w:t xml:space="preserve">apkarošanas blokā. </w:t>
      </w:r>
    </w:p>
    <w:p w:rsidR="00036103" w:rsidRDefault="00036103" w:rsidP="00E86291">
      <w:pPr>
        <w:spacing w:line="360" w:lineRule="auto"/>
        <w:jc w:val="both"/>
        <w:rPr>
          <w:bCs/>
        </w:rPr>
      </w:pPr>
      <w:r w:rsidRPr="00036103">
        <w:rPr>
          <w:b/>
          <w:bCs/>
        </w:rPr>
        <w:t>A.Loskutovs</w:t>
      </w:r>
      <w:r>
        <w:rPr>
          <w:bCs/>
        </w:rPr>
        <w:t>: informē par Valsts kancelejai nosūtīto vēstuli saistībā ar KNAB darbinieku atalgojumu salīdzinājumā</w:t>
      </w:r>
      <w:r w:rsidR="00337E5C">
        <w:rPr>
          <w:bCs/>
        </w:rPr>
        <w:t xml:space="preserve"> </w:t>
      </w:r>
      <w:r>
        <w:rPr>
          <w:bCs/>
        </w:rPr>
        <w:t>ar citām tiesībsargājošām iestādēm.</w:t>
      </w:r>
    </w:p>
    <w:p w:rsidR="00337E5C" w:rsidRDefault="00337E5C" w:rsidP="00E86291">
      <w:pPr>
        <w:spacing w:line="360" w:lineRule="auto"/>
        <w:jc w:val="both"/>
        <w:rPr>
          <w:bCs/>
        </w:rPr>
      </w:pPr>
      <w:r w:rsidRPr="00337E5C">
        <w:rPr>
          <w:b/>
          <w:bCs/>
        </w:rPr>
        <w:t>V.Spolītis</w:t>
      </w:r>
      <w:r>
        <w:rPr>
          <w:bCs/>
        </w:rPr>
        <w:t xml:space="preserve">: kritizē </w:t>
      </w:r>
      <w:proofErr w:type="gramStart"/>
      <w:r>
        <w:rPr>
          <w:bCs/>
        </w:rPr>
        <w:t>2017. – 2019.</w:t>
      </w:r>
      <w:proofErr w:type="gramEnd"/>
      <w:r>
        <w:rPr>
          <w:bCs/>
        </w:rPr>
        <w:t xml:space="preserve"> gada stratēģijas formulēšanas metodiku, norādot, ka jābūt skaidri un īsi formulētām stratēģijas prioritātēm  un no tām izrietošiem galvenajiem uzdevumiem.  Jautā, </w:t>
      </w:r>
      <w:r w:rsidR="0068773C">
        <w:rPr>
          <w:bCs/>
        </w:rPr>
        <w:t>kādi ir trīs galvenie uzdevu</w:t>
      </w:r>
      <w:r w:rsidR="00826802">
        <w:rPr>
          <w:bCs/>
        </w:rPr>
        <w:t>mi.</w:t>
      </w:r>
      <w:r w:rsidR="0068773C">
        <w:rPr>
          <w:bCs/>
        </w:rPr>
        <w:t xml:space="preserve"> V</w:t>
      </w:r>
      <w:r>
        <w:rPr>
          <w:bCs/>
        </w:rPr>
        <w:t>ai partiju “melno kasu</w:t>
      </w:r>
      <w:r w:rsidR="00826802">
        <w:rPr>
          <w:bCs/>
        </w:rPr>
        <w:t>”</w:t>
      </w:r>
      <w:r>
        <w:rPr>
          <w:bCs/>
        </w:rPr>
        <w:t xml:space="preserve"> jautājums iepriekš arī ticis risin</w:t>
      </w:r>
      <w:r w:rsidR="00826802">
        <w:rPr>
          <w:bCs/>
        </w:rPr>
        <w:t>āts?</w:t>
      </w:r>
    </w:p>
    <w:p w:rsidR="00353288" w:rsidRDefault="00337E5C" w:rsidP="00E86291">
      <w:pPr>
        <w:spacing w:line="360" w:lineRule="auto"/>
        <w:jc w:val="both"/>
        <w:rPr>
          <w:bCs/>
        </w:rPr>
      </w:pPr>
      <w:proofErr w:type="spellStart"/>
      <w:r w:rsidRPr="00337E5C">
        <w:rPr>
          <w:b/>
          <w:bCs/>
        </w:rPr>
        <w:t>I.Jurča</w:t>
      </w:r>
      <w:proofErr w:type="spellEnd"/>
      <w:r>
        <w:rPr>
          <w:bCs/>
        </w:rPr>
        <w:t>: uzskata, ka stratēģijas prioritātes ir skaidri formul</w:t>
      </w:r>
      <w:r w:rsidR="0068773C">
        <w:rPr>
          <w:bCs/>
        </w:rPr>
        <w:t xml:space="preserve">ētas – iepirkumi, partiju “melnās kases” un starpniecība un KNAB kapacitātes stiprināšana. </w:t>
      </w:r>
      <w:r>
        <w:rPr>
          <w:bCs/>
        </w:rPr>
        <w:t xml:space="preserve"> </w:t>
      </w:r>
      <w:r w:rsidR="0068773C">
        <w:rPr>
          <w:bCs/>
        </w:rPr>
        <w:t>Jautājums par “melnajām kasēm”</w:t>
      </w:r>
      <w:proofErr w:type="gramStart"/>
      <w:r w:rsidR="0068773C">
        <w:rPr>
          <w:bCs/>
        </w:rPr>
        <w:t xml:space="preserve">  </w:t>
      </w:r>
      <w:proofErr w:type="gramEnd"/>
      <w:r w:rsidR="0068773C">
        <w:rPr>
          <w:bCs/>
        </w:rPr>
        <w:t xml:space="preserve">ir iepriekš </w:t>
      </w:r>
      <w:r w:rsidR="00826802">
        <w:rPr>
          <w:bCs/>
        </w:rPr>
        <w:t xml:space="preserve">arī iespēju robežās </w:t>
      </w:r>
      <w:r w:rsidR="0068773C">
        <w:rPr>
          <w:bCs/>
        </w:rPr>
        <w:t xml:space="preserve">risināts. </w:t>
      </w:r>
    </w:p>
    <w:p w:rsidR="0068773C" w:rsidRDefault="0068773C" w:rsidP="00E86291">
      <w:pPr>
        <w:spacing w:line="360" w:lineRule="auto"/>
        <w:jc w:val="both"/>
        <w:rPr>
          <w:bCs/>
        </w:rPr>
      </w:pPr>
      <w:r w:rsidRPr="0068773C">
        <w:rPr>
          <w:b/>
          <w:bCs/>
        </w:rPr>
        <w:t>A.Loskutovs</w:t>
      </w:r>
      <w:r>
        <w:rPr>
          <w:bCs/>
        </w:rPr>
        <w:t xml:space="preserve">: arī iesaka, ka stratēģijā jānorāda trīs – galvenie virzieni, tad </w:t>
      </w:r>
      <w:r w:rsidR="00826802">
        <w:rPr>
          <w:bCs/>
        </w:rPr>
        <w:t>varētu sekot</w:t>
      </w:r>
      <w:proofErr w:type="gramStart"/>
      <w:r w:rsidR="00826802">
        <w:rPr>
          <w:bCs/>
        </w:rPr>
        <w:t xml:space="preserve"> </w:t>
      </w:r>
      <w:r>
        <w:rPr>
          <w:bCs/>
        </w:rPr>
        <w:t xml:space="preserve"> </w:t>
      </w:r>
      <w:proofErr w:type="gramEnd"/>
      <w:r>
        <w:rPr>
          <w:bCs/>
        </w:rPr>
        <w:t>izvērsts  stratēģijas uzdevumu aprak</w:t>
      </w:r>
      <w:r w:rsidR="00826802">
        <w:rPr>
          <w:bCs/>
        </w:rPr>
        <w:t>s</w:t>
      </w:r>
      <w:r>
        <w:rPr>
          <w:bCs/>
        </w:rPr>
        <w:t xml:space="preserve">ts. </w:t>
      </w:r>
    </w:p>
    <w:p w:rsidR="0068773C" w:rsidRDefault="0068773C" w:rsidP="00E86291">
      <w:pPr>
        <w:spacing w:line="360" w:lineRule="auto"/>
        <w:jc w:val="both"/>
        <w:rPr>
          <w:bCs/>
        </w:rPr>
      </w:pPr>
      <w:r w:rsidRPr="0068773C">
        <w:rPr>
          <w:b/>
          <w:bCs/>
        </w:rPr>
        <w:t>V.Liepiņš</w:t>
      </w:r>
      <w:r>
        <w:rPr>
          <w:bCs/>
        </w:rPr>
        <w:t>: arī kritizē prezentāciju, kas</w:t>
      </w:r>
      <w:r w:rsidR="00826802">
        <w:rPr>
          <w:bCs/>
        </w:rPr>
        <w:t xml:space="preserve">, viņaprāt, </w:t>
      </w:r>
      <w:r>
        <w:rPr>
          <w:bCs/>
        </w:rPr>
        <w:t xml:space="preserve">bija grūti uztverama. Uzskata, ka tā ir KNAB komunikācijas problēma. Norāda, ka stratēģijas izpildes izklāsts liecina, ka KNAB darbībā ir vērojama stagnācija. Tāpat pietrūkst </w:t>
      </w:r>
      <w:r w:rsidR="00C50C01">
        <w:rPr>
          <w:bCs/>
        </w:rPr>
        <w:t xml:space="preserve">plānoto </w:t>
      </w:r>
      <w:r>
        <w:rPr>
          <w:bCs/>
        </w:rPr>
        <w:t>mērķu</w:t>
      </w:r>
      <w:r w:rsidR="00C50C01">
        <w:rPr>
          <w:bCs/>
        </w:rPr>
        <w:t xml:space="preserve"> formulēšanas un</w:t>
      </w:r>
      <w:proofErr w:type="gramStart"/>
      <w:r w:rsidR="00C50C01">
        <w:rPr>
          <w:bCs/>
        </w:rPr>
        <w:t xml:space="preserve"> </w:t>
      </w:r>
      <w:r>
        <w:rPr>
          <w:bCs/>
        </w:rPr>
        <w:t xml:space="preserve"> </w:t>
      </w:r>
      <w:proofErr w:type="gramEnd"/>
      <w:r>
        <w:rPr>
          <w:bCs/>
        </w:rPr>
        <w:t xml:space="preserve">sasniegšanas pamatojuma </w:t>
      </w:r>
      <w:r w:rsidR="00C50C01">
        <w:rPr>
          <w:bCs/>
        </w:rPr>
        <w:t xml:space="preserve">kā arī </w:t>
      </w:r>
      <w:r>
        <w:rPr>
          <w:bCs/>
        </w:rPr>
        <w:t xml:space="preserve">mērķu izpildes izvērtēšanas kritēriji nav saprotami. </w:t>
      </w:r>
    </w:p>
    <w:p w:rsidR="00C50C01" w:rsidRDefault="00C50C01" w:rsidP="00E86291">
      <w:pPr>
        <w:spacing w:line="360" w:lineRule="auto"/>
        <w:jc w:val="both"/>
        <w:rPr>
          <w:bCs/>
        </w:rPr>
      </w:pPr>
      <w:proofErr w:type="spellStart"/>
      <w:r w:rsidRPr="00C50C01">
        <w:rPr>
          <w:b/>
          <w:bCs/>
        </w:rPr>
        <w:lastRenderedPageBreak/>
        <w:t>I.Jurča</w:t>
      </w:r>
      <w:proofErr w:type="spellEnd"/>
      <w:r>
        <w:rPr>
          <w:bCs/>
        </w:rPr>
        <w:t>: nepiekrīt kritikai. Uzskata, ka tie mērķi, kas skar KNAB tiešo darbu, ir sasniegti veiksmīgi, un stagnācijas nav. Rādītāji tiks koriģēti.  No nākamajiem stratēģijas izpildes rādītājiem izslēgs Korupcijas uztveres indeksu (KUI)</w:t>
      </w:r>
      <w:proofErr w:type="gramStart"/>
      <w:r>
        <w:rPr>
          <w:bCs/>
        </w:rPr>
        <w:t xml:space="preserve"> , </w:t>
      </w:r>
      <w:proofErr w:type="gramEnd"/>
      <w:r>
        <w:rPr>
          <w:bCs/>
        </w:rPr>
        <w:t xml:space="preserve">jo tas neatspoguļo KNAB darbu.  </w:t>
      </w:r>
    </w:p>
    <w:p w:rsidR="00C50C01" w:rsidRDefault="00C50C01" w:rsidP="00E86291">
      <w:pPr>
        <w:spacing w:line="360" w:lineRule="auto"/>
        <w:jc w:val="both"/>
        <w:rPr>
          <w:bCs/>
        </w:rPr>
      </w:pPr>
      <w:r w:rsidRPr="00C50C01">
        <w:rPr>
          <w:b/>
          <w:bCs/>
        </w:rPr>
        <w:t>A.Loskutovs</w:t>
      </w:r>
      <w:r>
        <w:rPr>
          <w:bCs/>
        </w:rPr>
        <w:t>: iesaka piesardzīgi izturēties pret atteikšanos ko KUI, jo sabiedrības noskaņojuma rādītāji ir labs salīdzināšanas</w:t>
      </w:r>
      <w:proofErr w:type="gramStart"/>
      <w:r>
        <w:rPr>
          <w:bCs/>
        </w:rPr>
        <w:t xml:space="preserve">  </w:t>
      </w:r>
      <w:proofErr w:type="gramEnd"/>
      <w:r>
        <w:rPr>
          <w:bCs/>
        </w:rPr>
        <w:t xml:space="preserve">kritērijs pa gadiem.  </w:t>
      </w:r>
    </w:p>
    <w:p w:rsidR="00C50C01" w:rsidRDefault="00C50C01" w:rsidP="00E86291">
      <w:pPr>
        <w:spacing w:line="360" w:lineRule="auto"/>
        <w:jc w:val="both"/>
        <w:rPr>
          <w:bCs/>
        </w:rPr>
      </w:pPr>
      <w:r w:rsidRPr="00C50C01">
        <w:rPr>
          <w:b/>
          <w:bCs/>
        </w:rPr>
        <w:t>V.Liepiņš</w:t>
      </w:r>
      <w:r>
        <w:rPr>
          <w:bCs/>
        </w:rPr>
        <w:t xml:space="preserve">: </w:t>
      </w:r>
      <w:r w:rsidR="00A452CF">
        <w:rPr>
          <w:bCs/>
        </w:rPr>
        <w:t xml:space="preserve">kritizē tabulā ietverto </w:t>
      </w:r>
      <w:r w:rsidR="00826802">
        <w:rPr>
          <w:bCs/>
        </w:rPr>
        <w:t xml:space="preserve">pozitīvo </w:t>
      </w:r>
      <w:r w:rsidR="00A452CF">
        <w:rPr>
          <w:bCs/>
        </w:rPr>
        <w:t xml:space="preserve">komentāru par plānoto izglītošanas mērķu sasniegšanu, kaut gan nav sasniegts plānotais pieaugums.  </w:t>
      </w:r>
      <w:r w:rsidR="00826802">
        <w:rPr>
          <w:bCs/>
        </w:rPr>
        <w:t xml:space="preserve">Norāda, ka </w:t>
      </w:r>
      <w:r w:rsidR="00A452CF">
        <w:rPr>
          <w:bCs/>
        </w:rPr>
        <w:t xml:space="preserve">KUI nav perfekts, taču tas </w:t>
      </w:r>
      <w:r w:rsidR="00826802">
        <w:rPr>
          <w:bCs/>
        </w:rPr>
        <w:t>izgaismo</w:t>
      </w:r>
      <w:r w:rsidR="00A452CF">
        <w:rPr>
          <w:bCs/>
        </w:rPr>
        <w:t xml:space="preserve"> tendenci. </w:t>
      </w:r>
    </w:p>
    <w:p w:rsidR="00036103" w:rsidRDefault="00A452CF" w:rsidP="00E86291">
      <w:pPr>
        <w:spacing w:line="360" w:lineRule="auto"/>
        <w:jc w:val="both"/>
        <w:rPr>
          <w:bCs/>
        </w:rPr>
      </w:pPr>
      <w:proofErr w:type="spellStart"/>
      <w:r w:rsidRPr="00A452CF">
        <w:rPr>
          <w:b/>
          <w:bCs/>
        </w:rPr>
        <w:t>I.Jurča</w:t>
      </w:r>
      <w:proofErr w:type="spellEnd"/>
      <w:r>
        <w:rPr>
          <w:bCs/>
        </w:rPr>
        <w:t xml:space="preserve">: uzskata, ka mērķis izglītošanas jomā sasniegts, jo palielinājies semināros izglītojamo skaits un testi rāda labu rezultātu.  Izglītībā un zināšanu testēšanā ieguldīti milzīgi līdzekļi. </w:t>
      </w:r>
    </w:p>
    <w:p w:rsidR="00A452CF" w:rsidRDefault="00A452CF" w:rsidP="00E86291">
      <w:pPr>
        <w:spacing w:line="360" w:lineRule="auto"/>
        <w:jc w:val="both"/>
        <w:rPr>
          <w:bCs/>
        </w:rPr>
      </w:pPr>
      <w:r w:rsidRPr="00A452CF">
        <w:rPr>
          <w:b/>
          <w:bCs/>
        </w:rPr>
        <w:t>A.Loskutovs</w:t>
      </w:r>
      <w:r>
        <w:rPr>
          <w:bCs/>
        </w:rPr>
        <w:t xml:space="preserve">: jautā, vai lielais klausītāju skaits neļauj semināros komunicēt ar pasniedzēju. </w:t>
      </w:r>
    </w:p>
    <w:p w:rsidR="00E72934" w:rsidRDefault="00E72934" w:rsidP="00E86291">
      <w:pPr>
        <w:spacing w:line="360" w:lineRule="auto"/>
        <w:jc w:val="both"/>
        <w:rPr>
          <w:bCs/>
        </w:rPr>
      </w:pPr>
      <w:r w:rsidRPr="00E72934">
        <w:rPr>
          <w:b/>
          <w:bCs/>
        </w:rPr>
        <w:t>V.Spolītis</w:t>
      </w:r>
      <w:r>
        <w:rPr>
          <w:bCs/>
        </w:rPr>
        <w:t>: norāda uz KNAB komunikācijas prasmes trūkumiem, kas neļauj veiksmīgi sniegt informāciju arī par stratēģisko mērķu sasniegšanu un to analīzi, piemēram,</w:t>
      </w:r>
      <w:r w:rsidR="00826802">
        <w:rPr>
          <w:bCs/>
        </w:rPr>
        <w:t xml:space="preserve"> </w:t>
      </w:r>
      <w:r>
        <w:rPr>
          <w:bCs/>
        </w:rPr>
        <w:t xml:space="preserve">par partiju “melno kasu” izskaušanu. </w:t>
      </w:r>
    </w:p>
    <w:p w:rsidR="00E72934" w:rsidRDefault="00E72934" w:rsidP="00E86291">
      <w:pPr>
        <w:spacing w:line="360" w:lineRule="auto"/>
        <w:jc w:val="both"/>
        <w:rPr>
          <w:bCs/>
        </w:rPr>
      </w:pPr>
      <w:proofErr w:type="spellStart"/>
      <w:r w:rsidRPr="00E72934">
        <w:rPr>
          <w:b/>
          <w:bCs/>
        </w:rPr>
        <w:t>J.Jurča</w:t>
      </w:r>
      <w:proofErr w:type="spellEnd"/>
      <w:r>
        <w:rPr>
          <w:bCs/>
        </w:rPr>
        <w:t>: norāda, ka bez fizisko personu ienākumu kontroles nav iespējams apkarot partiju “melnās kases”</w:t>
      </w:r>
      <w:r w:rsidR="00AA4BD9">
        <w:rPr>
          <w:bCs/>
        </w:rPr>
        <w:t xml:space="preserve">, kā arī ziedošanas starpniecību, kad fiziska persona ziedo visus savus legālos ienākumus.   </w:t>
      </w:r>
      <w:r>
        <w:rPr>
          <w:bCs/>
        </w:rPr>
        <w:t xml:space="preserve"> Bez attiecīgās likumdošanas KNAB nav iespējams šos jautājumus veiksmīgi risināt.  </w:t>
      </w:r>
    </w:p>
    <w:p w:rsidR="00AA4BD9" w:rsidRPr="00E86291" w:rsidRDefault="00E72934" w:rsidP="00E86291">
      <w:pPr>
        <w:spacing w:line="360" w:lineRule="auto"/>
        <w:jc w:val="both"/>
        <w:rPr>
          <w:bCs/>
        </w:rPr>
      </w:pPr>
      <w:r w:rsidRPr="00E72934">
        <w:rPr>
          <w:b/>
          <w:bCs/>
        </w:rPr>
        <w:t>R.Mežeckis</w:t>
      </w:r>
      <w:r>
        <w:rPr>
          <w:bCs/>
        </w:rPr>
        <w:t xml:space="preserve">: </w:t>
      </w:r>
      <w:r w:rsidR="00AA4BD9">
        <w:rPr>
          <w:bCs/>
        </w:rPr>
        <w:t>piekrīt, ka ziedošanas jautājums</w:t>
      </w:r>
      <w:r w:rsidR="00AA4BD9" w:rsidRPr="00AA4BD9">
        <w:rPr>
          <w:bCs/>
        </w:rPr>
        <w:t xml:space="preserve"> </w:t>
      </w:r>
      <w:r w:rsidR="00AA4BD9">
        <w:rPr>
          <w:bCs/>
        </w:rPr>
        <w:t>jārisina.  N</w:t>
      </w:r>
      <w:r>
        <w:rPr>
          <w:bCs/>
        </w:rPr>
        <w:t xml:space="preserve">orāda, ka </w:t>
      </w:r>
      <w:r w:rsidR="00AA4BD9">
        <w:rPr>
          <w:bCs/>
        </w:rPr>
        <w:t xml:space="preserve">nākotnē </w:t>
      </w:r>
      <w:r>
        <w:rPr>
          <w:bCs/>
        </w:rPr>
        <w:t>uz Saeimas vēlēšanām var</w:t>
      </w:r>
      <w:r w:rsidR="00AA4BD9">
        <w:rPr>
          <w:bCs/>
        </w:rPr>
        <w:t>ētu</w:t>
      </w:r>
      <w:r>
        <w:rPr>
          <w:bCs/>
        </w:rPr>
        <w:t xml:space="preserve"> rasties situācija, kad veiksmīgu</w:t>
      </w:r>
      <w:r w:rsidR="00AA4BD9">
        <w:rPr>
          <w:bCs/>
        </w:rPr>
        <w:t xml:space="preserve"> </w:t>
      </w:r>
      <w:r>
        <w:rPr>
          <w:bCs/>
        </w:rPr>
        <w:t xml:space="preserve">lielo kompāniju īpašnieki dod rīkojumu saviem darbiniekiem </w:t>
      </w:r>
      <w:r w:rsidR="00AA4BD9">
        <w:rPr>
          <w:bCs/>
        </w:rPr>
        <w:t xml:space="preserve">ziedot </w:t>
      </w:r>
      <w:r>
        <w:rPr>
          <w:bCs/>
        </w:rPr>
        <w:t xml:space="preserve">konkrētu summu </w:t>
      </w:r>
      <w:r w:rsidR="00AA4BD9">
        <w:rPr>
          <w:bCs/>
        </w:rPr>
        <w:t>partiju atbalstam, un vienas šādas ziedotāju grupas iemaksātie līdzekļi spēs pilnībā nosegt partijai atļauto ziedojumu summu. Jādomā, kā risināt šādas situācijas. Norāda, ka komunikācijas spilgtums</w:t>
      </w:r>
      <w:r w:rsidR="009E5785">
        <w:rPr>
          <w:bCs/>
        </w:rPr>
        <w:t xml:space="preserve"> </w:t>
      </w:r>
      <w:r w:rsidR="00AA4BD9">
        <w:rPr>
          <w:bCs/>
        </w:rPr>
        <w:t xml:space="preserve">nav darba rādītājs. </w:t>
      </w:r>
      <w:r w:rsidR="009E5785">
        <w:rPr>
          <w:bCs/>
        </w:rPr>
        <w:t xml:space="preserve">Uzskata, ka komunikācijas veidošana būtu jāuztic speciālistam. </w:t>
      </w:r>
      <w:r w:rsidR="0066748A">
        <w:rPr>
          <w:bCs/>
        </w:rPr>
        <w:t>A</w:t>
      </w:r>
      <w:r w:rsidR="009E5785">
        <w:rPr>
          <w:bCs/>
        </w:rPr>
        <w:t>tgādina, par KNAB dibināšana</w:t>
      </w:r>
      <w:r w:rsidR="0066748A">
        <w:rPr>
          <w:bCs/>
        </w:rPr>
        <w:t>s</w:t>
      </w:r>
      <w:r w:rsidR="009E5785">
        <w:rPr>
          <w:bCs/>
        </w:rPr>
        <w:t xml:space="preserve"> un veidošanas principiem. </w:t>
      </w:r>
    </w:p>
    <w:p w:rsidR="009E5785" w:rsidRDefault="009E5785" w:rsidP="00FD4B13">
      <w:pPr>
        <w:spacing w:line="360" w:lineRule="auto"/>
        <w:jc w:val="both"/>
      </w:pPr>
      <w:r>
        <w:t>Uzsver atalgojuma jautājuma nozīmīgumu, lai KNAB varētu nodarbināt</w:t>
      </w:r>
      <w:r w:rsidR="002904A9">
        <w:t xml:space="preserve"> </w:t>
      </w:r>
      <w:r>
        <w:t>augstas raudzes</w:t>
      </w:r>
      <w:r w:rsidR="002904A9">
        <w:t xml:space="preserve"> </w:t>
      </w:r>
      <w:r>
        <w:t xml:space="preserve">profesionāļus. </w:t>
      </w:r>
    </w:p>
    <w:p w:rsidR="009E5785" w:rsidRDefault="009E5785" w:rsidP="00FD4B13">
      <w:pPr>
        <w:spacing w:line="360" w:lineRule="auto"/>
        <w:jc w:val="both"/>
      </w:pPr>
      <w:r w:rsidRPr="009E5785">
        <w:rPr>
          <w:b/>
        </w:rPr>
        <w:t>A.Loskutovs</w:t>
      </w:r>
      <w:r>
        <w:t xml:space="preserve">: </w:t>
      </w:r>
      <w:r w:rsidR="002904A9">
        <w:t xml:space="preserve">pateicas par sniegto informāciju. </w:t>
      </w:r>
    </w:p>
    <w:p w:rsidR="002904A9" w:rsidRPr="002904A9" w:rsidRDefault="002904A9" w:rsidP="00FD4B13">
      <w:pPr>
        <w:spacing w:line="360" w:lineRule="auto"/>
        <w:jc w:val="both"/>
        <w:rPr>
          <w:b/>
        </w:rPr>
      </w:pPr>
      <w:r w:rsidRPr="002904A9">
        <w:rPr>
          <w:b/>
        </w:rPr>
        <w:t>Lēmums:</w:t>
      </w:r>
      <w:r>
        <w:rPr>
          <w:b/>
        </w:rPr>
        <w:t xml:space="preserve"> </w:t>
      </w:r>
    </w:p>
    <w:p w:rsidR="002904A9" w:rsidRPr="002904A9" w:rsidRDefault="002904A9" w:rsidP="002904A9">
      <w:pPr>
        <w:spacing w:line="360" w:lineRule="auto"/>
        <w:jc w:val="both"/>
      </w:pPr>
      <w:r>
        <w:t xml:space="preserve"> - pieņemt </w:t>
      </w:r>
      <w:r w:rsidR="0066748A">
        <w:t xml:space="preserve">zināšanai </w:t>
      </w:r>
      <w:r>
        <w:t xml:space="preserve">ziņojumu </w:t>
      </w:r>
      <w:proofErr w:type="gramStart"/>
      <w:r>
        <w:t xml:space="preserve">par </w:t>
      </w:r>
      <w:r w:rsidRPr="002904A9">
        <w:t>Korupcijas novēršanas un apkarošanas</w:t>
      </w:r>
      <w:proofErr w:type="gramEnd"/>
      <w:r w:rsidRPr="002904A9">
        <w:t xml:space="preserve"> biroja darbības stratēģijas 2014.–2016. gadam īstenošanas rezultāti</w:t>
      </w:r>
      <w:r>
        <w:t>em</w:t>
      </w:r>
      <w:r w:rsidRPr="002904A9">
        <w:t xml:space="preserve"> un turpmākās vidēja termiņa politikas plānošanas</w:t>
      </w:r>
      <w:r>
        <w:t xml:space="preserve"> dokumentu. </w:t>
      </w:r>
    </w:p>
    <w:p w:rsidR="00FD4B13" w:rsidRPr="008A4B46" w:rsidRDefault="00FD4B13" w:rsidP="00FD4B13">
      <w:pPr>
        <w:spacing w:line="360" w:lineRule="auto"/>
        <w:jc w:val="both"/>
        <w:rPr>
          <w:i/>
        </w:rPr>
      </w:pPr>
      <w:r>
        <w:rPr>
          <w:i/>
        </w:rPr>
        <w:t xml:space="preserve">Sēde pabeigta </w:t>
      </w:r>
      <w:proofErr w:type="gramStart"/>
      <w:r>
        <w:rPr>
          <w:i/>
        </w:rPr>
        <w:t>2017</w:t>
      </w:r>
      <w:r w:rsidRPr="008A4B46">
        <w:rPr>
          <w:i/>
        </w:rPr>
        <w:t>.gada</w:t>
      </w:r>
      <w:proofErr w:type="gramEnd"/>
      <w:r w:rsidRPr="008A4B46">
        <w:rPr>
          <w:i/>
        </w:rPr>
        <w:t xml:space="preserve"> </w:t>
      </w:r>
      <w:r w:rsidR="00353288">
        <w:rPr>
          <w:i/>
        </w:rPr>
        <w:t>28</w:t>
      </w:r>
      <w:r>
        <w:rPr>
          <w:i/>
        </w:rPr>
        <w:t xml:space="preserve">.martā </w:t>
      </w:r>
      <w:r w:rsidRPr="008A4B46">
        <w:rPr>
          <w:i/>
        </w:rPr>
        <w:t xml:space="preserve"> plkst.</w:t>
      </w:r>
      <w:r w:rsidR="00826802">
        <w:rPr>
          <w:i/>
        </w:rPr>
        <w:t>14.5</w:t>
      </w:r>
      <w:r>
        <w:rPr>
          <w:i/>
        </w:rPr>
        <w:t>5</w:t>
      </w:r>
    </w:p>
    <w:p w:rsidR="00FD4B13" w:rsidRDefault="00FD4B13" w:rsidP="00FD4B13">
      <w:pPr>
        <w:spacing w:line="360" w:lineRule="auto"/>
        <w:jc w:val="both"/>
      </w:pPr>
    </w:p>
    <w:p w:rsidR="00FD4B13" w:rsidRPr="00DC54F0" w:rsidRDefault="00FD4B13" w:rsidP="00FD4B13">
      <w:pPr>
        <w:spacing w:line="360" w:lineRule="auto"/>
        <w:jc w:val="both"/>
      </w:pPr>
      <w:r w:rsidRPr="00DC54F0">
        <w:t>Apakškomisijas priekšsēdētājs</w:t>
      </w:r>
      <w:r w:rsidRPr="00DC54F0">
        <w:tab/>
      </w:r>
      <w:r w:rsidRPr="00DC54F0">
        <w:tab/>
      </w:r>
      <w:r w:rsidRPr="00DC54F0">
        <w:tab/>
      </w:r>
      <w:r w:rsidRPr="00DC54F0">
        <w:tab/>
      </w:r>
      <w:r w:rsidRPr="00DC54F0">
        <w:tab/>
      </w:r>
      <w:r w:rsidRPr="00DC54F0">
        <w:tab/>
      </w:r>
      <w:proofErr w:type="gramStart"/>
      <w:r>
        <w:t xml:space="preserve">              </w:t>
      </w:r>
      <w:proofErr w:type="gramEnd"/>
      <w:r w:rsidRPr="00DC54F0">
        <w:t>A.Loskutovs</w:t>
      </w:r>
    </w:p>
    <w:p w:rsidR="00FD4B13" w:rsidRDefault="00FD4B13" w:rsidP="00FD4B13">
      <w:pPr>
        <w:spacing w:line="360" w:lineRule="auto"/>
        <w:jc w:val="both"/>
      </w:pPr>
    </w:p>
    <w:p w:rsidR="00FD4B13" w:rsidRPr="00DC54F0" w:rsidRDefault="00FD4B13" w:rsidP="00FD4B13">
      <w:pPr>
        <w:spacing w:line="360" w:lineRule="auto"/>
        <w:jc w:val="both"/>
      </w:pPr>
      <w:r>
        <w:t>Apakškomisijas deputāts</w:t>
      </w:r>
      <w:r w:rsidRPr="00DC54F0">
        <w:tab/>
      </w:r>
      <w:r w:rsidRPr="00DC54F0">
        <w:tab/>
      </w:r>
      <w:r w:rsidRPr="00DC54F0">
        <w:tab/>
      </w:r>
      <w:r w:rsidRPr="00DC54F0">
        <w:tab/>
      </w:r>
      <w:proofErr w:type="gramStart"/>
      <w:r>
        <w:t xml:space="preserve">                                                 </w:t>
      </w:r>
      <w:proofErr w:type="gramEnd"/>
      <w:r>
        <w:t>K.Krēsliņš</w:t>
      </w:r>
    </w:p>
    <w:p w:rsidR="00FD4B13" w:rsidRDefault="00FD4B13" w:rsidP="00FD4B13">
      <w:pPr>
        <w:spacing w:line="360" w:lineRule="auto"/>
        <w:jc w:val="both"/>
      </w:pPr>
    </w:p>
    <w:p w:rsidR="00466624" w:rsidRDefault="00FD4B13" w:rsidP="002904A9">
      <w:pPr>
        <w:spacing w:line="360" w:lineRule="auto"/>
        <w:jc w:val="both"/>
      </w:pPr>
      <w:r>
        <w:t>AIKNK</w:t>
      </w:r>
      <w:proofErr w:type="gramStart"/>
      <w:r>
        <w:t xml:space="preserve"> </w:t>
      </w:r>
      <w:r w:rsidRPr="00DC54F0">
        <w:t xml:space="preserve"> </w:t>
      </w:r>
      <w:proofErr w:type="gramEnd"/>
      <w:r w:rsidRPr="00DC54F0">
        <w:t>konsultante</w:t>
      </w:r>
      <w:r w:rsidRPr="00DC54F0">
        <w:tab/>
      </w:r>
      <w:r w:rsidRPr="00DC54F0">
        <w:tab/>
      </w:r>
      <w:r w:rsidRPr="00DC54F0">
        <w:tab/>
      </w:r>
      <w:r w:rsidRPr="00DC54F0">
        <w:tab/>
      </w:r>
      <w:r w:rsidRPr="00DC54F0">
        <w:tab/>
      </w:r>
      <w:r w:rsidRPr="00DC54F0">
        <w:tab/>
      </w:r>
      <w:r>
        <w:t xml:space="preserve">                                     M.Markevica</w:t>
      </w:r>
    </w:p>
    <w:sectPr w:rsidR="00466624" w:rsidSect="00C8705A">
      <w:footerReference w:type="even" r:id="rId6"/>
      <w:footerReference w:type="default" r:id="rId7"/>
      <w:footerReference w:type="first" r:id="rId8"/>
      <w:pgSz w:w="11906" w:h="16838"/>
      <w:pgMar w:top="284" w:right="907" w:bottom="284" w:left="1701" w:header="113"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1BE" w:rsidRDefault="002A11BE">
      <w:r>
        <w:separator/>
      </w:r>
    </w:p>
  </w:endnote>
  <w:endnote w:type="continuationSeparator" w:id="0">
    <w:p w:rsidR="002A11BE" w:rsidRDefault="002A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A9F" w:rsidRDefault="00AD77F5" w:rsidP="00BC6A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6A9F" w:rsidRDefault="001900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333123"/>
      <w:docPartObj>
        <w:docPartGallery w:val="Page Numbers (Bottom of Page)"/>
        <w:docPartUnique/>
      </w:docPartObj>
    </w:sdtPr>
    <w:sdtEndPr>
      <w:rPr>
        <w:noProof/>
      </w:rPr>
    </w:sdtEndPr>
    <w:sdtContent>
      <w:p w:rsidR="00597E03" w:rsidRDefault="00AD77F5">
        <w:pPr>
          <w:pStyle w:val="Footer"/>
          <w:jc w:val="right"/>
        </w:pPr>
        <w:r>
          <w:fldChar w:fldCharType="begin"/>
        </w:r>
        <w:r>
          <w:instrText xml:space="preserve"> PAGE   \* MERGEFORMAT </w:instrText>
        </w:r>
        <w:r>
          <w:fldChar w:fldCharType="separate"/>
        </w:r>
        <w:r w:rsidR="001900CB">
          <w:rPr>
            <w:noProof/>
          </w:rPr>
          <w:t>5</w:t>
        </w:r>
        <w:r>
          <w:rPr>
            <w:noProof/>
          </w:rPr>
          <w:fldChar w:fldCharType="end"/>
        </w:r>
      </w:p>
    </w:sdtContent>
  </w:sdt>
  <w:p w:rsidR="00BC6A9F" w:rsidRPr="00987E51" w:rsidRDefault="001900CB" w:rsidP="00BC6A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059818"/>
      <w:docPartObj>
        <w:docPartGallery w:val="Page Numbers (Bottom of Page)"/>
        <w:docPartUnique/>
      </w:docPartObj>
    </w:sdtPr>
    <w:sdtEndPr>
      <w:rPr>
        <w:noProof/>
      </w:rPr>
    </w:sdtEndPr>
    <w:sdtContent>
      <w:p w:rsidR="00BC6A9F" w:rsidRDefault="00AD77F5">
        <w:pPr>
          <w:pStyle w:val="Footer"/>
          <w:jc w:val="right"/>
        </w:pPr>
        <w:r>
          <w:fldChar w:fldCharType="begin"/>
        </w:r>
        <w:r>
          <w:instrText xml:space="preserve"> PAGE   \* MERGEFORMAT </w:instrText>
        </w:r>
        <w:r>
          <w:fldChar w:fldCharType="separate"/>
        </w:r>
        <w:r w:rsidR="001900CB">
          <w:rPr>
            <w:noProof/>
          </w:rPr>
          <w:t>1</w:t>
        </w:r>
        <w:r>
          <w:rPr>
            <w:noProof/>
          </w:rPr>
          <w:fldChar w:fldCharType="end"/>
        </w:r>
      </w:p>
    </w:sdtContent>
  </w:sdt>
  <w:p w:rsidR="00BC6A9F" w:rsidRDefault="00190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1BE" w:rsidRDefault="002A11BE">
      <w:r>
        <w:separator/>
      </w:r>
    </w:p>
  </w:footnote>
  <w:footnote w:type="continuationSeparator" w:id="0">
    <w:p w:rsidR="002A11BE" w:rsidRDefault="002A11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B13"/>
    <w:rsid w:val="00036103"/>
    <w:rsid w:val="001900CB"/>
    <w:rsid w:val="00191F0C"/>
    <w:rsid w:val="001F2097"/>
    <w:rsid w:val="002904A9"/>
    <w:rsid w:val="002A11BE"/>
    <w:rsid w:val="00337E5C"/>
    <w:rsid w:val="00353288"/>
    <w:rsid w:val="00466624"/>
    <w:rsid w:val="004B43B5"/>
    <w:rsid w:val="00590387"/>
    <w:rsid w:val="0062665F"/>
    <w:rsid w:val="0066748A"/>
    <w:rsid w:val="006767B5"/>
    <w:rsid w:val="0068773C"/>
    <w:rsid w:val="00727A26"/>
    <w:rsid w:val="008177C9"/>
    <w:rsid w:val="00826802"/>
    <w:rsid w:val="009D02E2"/>
    <w:rsid w:val="009E5785"/>
    <w:rsid w:val="00A452CF"/>
    <w:rsid w:val="00A861EA"/>
    <w:rsid w:val="00AA0479"/>
    <w:rsid w:val="00AA4BD9"/>
    <w:rsid w:val="00AD77F5"/>
    <w:rsid w:val="00C50C01"/>
    <w:rsid w:val="00E72934"/>
    <w:rsid w:val="00E86291"/>
    <w:rsid w:val="00FD4B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0181DC67-4833-4442-A9C8-70646818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B13"/>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D4B13"/>
    <w:pPr>
      <w:jc w:val="center"/>
    </w:pPr>
    <w:rPr>
      <w:b/>
      <w:bCs/>
    </w:rPr>
  </w:style>
  <w:style w:type="character" w:customStyle="1" w:styleId="TitleChar">
    <w:name w:val="Title Char"/>
    <w:basedOn w:val="DefaultParagraphFont"/>
    <w:link w:val="Title"/>
    <w:rsid w:val="00FD4B13"/>
    <w:rPr>
      <w:rFonts w:eastAsia="Times New Roman" w:cs="Times New Roman"/>
      <w:b/>
      <w:bCs/>
      <w:szCs w:val="24"/>
    </w:rPr>
  </w:style>
  <w:style w:type="paragraph" w:styleId="Footer">
    <w:name w:val="footer"/>
    <w:basedOn w:val="Normal"/>
    <w:link w:val="FooterChar"/>
    <w:uiPriority w:val="99"/>
    <w:rsid w:val="00FD4B13"/>
    <w:pPr>
      <w:tabs>
        <w:tab w:val="center" w:pos="4153"/>
        <w:tab w:val="right" w:pos="8306"/>
      </w:tabs>
    </w:pPr>
  </w:style>
  <w:style w:type="character" w:customStyle="1" w:styleId="FooterChar">
    <w:name w:val="Footer Char"/>
    <w:basedOn w:val="DefaultParagraphFont"/>
    <w:link w:val="Footer"/>
    <w:uiPriority w:val="99"/>
    <w:rsid w:val="00FD4B13"/>
    <w:rPr>
      <w:rFonts w:eastAsia="Times New Roman" w:cs="Times New Roman"/>
      <w:szCs w:val="24"/>
    </w:rPr>
  </w:style>
  <w:style w:type="character" w:styleId="PageNumber">
    <w:name w:val="page number"/>
    <w:basedOn w:val="DefaultParagraphFont"/>
    <w:rsid w:val="00FD4B13"/>
  </w:style>
  <w:style w:type="character" w:styleId="Strong">
    <w:name w:val="Strong"/>
    <w:qFormat/>
    <w:rsid w:val="00FD4B13"/>
    <w:rPr>
      <w:b/>
      <w:bCs/>
    </w:rPr>
  </w:style>
  <w:style w:type="paragraph" w:styleId="ListParagraph">
    <w:name w:val="List Paragraph"/>
    <w:basedOn w:val="Normal"/>
    <w:uiPriority w:val="34"/>
    <w:qFormat/>
    <w:rsid w:val="00FD4B13"/>
    <w:pPr>
      <w:ind w:left="720"/>
      <w:contextualSpacing/>
    </w:pPr>
  </w:style>
  <w:style w:type="paragraph" w:styleId="BalloonText">
    <w:name w:val="Balloon Text"/>
    <w:basedOn w:val="Normal"/>
    <w:link w:val="BalloonTextChar"/>
    <w:uiPriority w:val="99"/>
    <w:semiHidden/>
    <w:unhideWhenUsed/>
    <w:rsid w:val="006674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48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8641</Words>
  <Characters>4926</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Margita Markevica</dc:creator>
  <cp:keywords/>
  <dc:description/>
  <cp:lastModifiedBy>Margita Markevica</cp:lastModifiedBy>
  <cp:revision>2</cp:revision>
  <cp:lastPrinted>2017-04-03T11:52:00Z</cp:lastPrinted>
  <dcterms:created xsi:type="dcterms:W3CDTF">2017-04-05T12:05:00Z</dcterms:created>
  <dcterms:modified xsi:type="dcterms:W3CDTF">2017-04-05T12:05:00Z</dcterms:modified>
</cp:coreProperties>
</file>