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15A90" w14:textId="65F135CE" w:rsidR="00B34C23" w:rsidRPr="00B34C23" w:rsidRDefault="00B34C23" w:rsidP="00AB6B7D">
      <w:pPr>
        <w:spacing w:line="276" w:lineRule="auto"/>
        <w:jc w:val="center"/>
        <w:rPr>
          <w:rFonts w:ascii="Roboto Light" w:hAnsi="Roboto Light"/>
          <w:b/>
          <w:bCs/>
          <w:sz w:val="20"/>
          <w:szCs w:val="20"/>
          <w:lang w:val="en-US"/>
        </w:rPr>
      </w:pPr>
      <w:bookmarkStart w:id="0" w:name="_GoBack"/>
      <w:bookmarkEnd w:id="0"/>
      <w:r w:rsidRPr="00B34C23">
        <w:rPr>
          <w:rFonts w:ascii="Roboto Light" w:hAnsi="Roboto Light" w:cstheme="minorHAnsi"/>
          <w:b/>
          <w:sz w:val="20"/>
          <w:szCs w:val="20"/>
          <w:lang w:eastAsia="lv-LV"/>
        </w:rPr>
        <w:drawing>
          <wp:anchor distT="0" distB="0" distL="114300" distR="114300" simplePos="0" relativeHeight="251659264" behindDoc="1" locked="0" layoutInCell="1" allowOverlap="1" wp14:anchorId="4BBD8415" wp14:editId="3FF214B8">
            <wp:simplePos x="0" y="0"/>
            <wp:positionH relativeFrom="page">
              <wp:posOffset>5568</wp:posOffset>
            </wp:positionH>
            <wp:positionV relativeFrom="paragraph">
              <wp:posOffset>-729615</wp:posOffset>
            </wp:positionV>
            <wp:extent cx="7598410" cy="10744200"/>
            <wp:effectExtent l="0" t="0" r="2540" b="0"/>
            <wp:wrapNone/>
            <wp:docPr id="1" name="Picture 1" descr="LAPA_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LAPA_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841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CBEB8" w14:textId="77777777" w:rsidR="00D36121" w:rsidRDefault="00D36121" w:rsidP="00AB6B7D">
      <w:pPr>
        <w:spacing w:line="276" w:lineRule="auto"/>
        <w:jc w:val="center"/>
        <w:rPr>
          <w:rFonts w:ascii="Roboto Light" w:hAnsi="Roboto Light"/>
          <w:b/>
          <w:bCs/>
          <w:sz w:val="20"/>
          <w:szCs w:val="20"/>
          <w:lang w:val="en-US"/>
        </w:rPr>
      </w:pPr>
    </w:p>
    <w:p w14:paraId="2D73D19A" w14:textId="58F5DD6F" w:rsidR="00B34C23" w:rsidRPr="00B34C23" w:rsidRDefault="00B34C23" w:rsidP="00AB6B7D">
      <w:pPr>
        <w:spacing w:line="276" w:lineRule="auto"/>
        <w:jc w:val="center"/>
        <w:rPr>
          <w:rFonts w:ascii="Roboto Light" w:hAnsi="Roboto Light"/>
          <w:b/>
          <w:bCs/>
          <w:sz w:val="20"/>
          <w:szCs w:val="20"/>
          <w:lang w:val="en-US"/>
        </w:rPr>
      </w:pPr>
      <w:r w:rsidRPr="00B34C23">
        <w:rPr>
          <w:rFonts w:ascii="Roboto Light" w:hAnsi="Roboto Light"/>
          <w:b/>
          <w:bCs/>
          <w:sz w:val="20"/>
          <w:szCs w:val="20"/>
          <w:lang w:val="en-US"/>
        </w:rPr>
        <w:t>Rīgā</w:t>
      </w:r>
    </w:p>
    <w:p w14:paraId="6EEC48F9" w14:textId="76CF9DA8" w:rsidR="00B34C23" w:rsidRPr="00B34C23" w:rsidRDefault="00B34C23" w:rsidP="00AB6B7D">
      <w:pPr>
        <w:spacing w:after="0" w:line="276" w:lineRule="auto"/>
        <w:rPr>
          <w:rFonts w:ascii="Roboto Light" w:hAnsi="Roboto Light"/>
          <w:sz w:val="20"/>
          <w:szCs w:val="20"/>
          <w:lang w:val="en-US"/>
        </w:rPr>
      </w:pPr>
      <w:r w:rsidRPr="00B34C23">
        <w:rPr>
          <w:rFonts w:ascii="Roboto Light" w:hAnsi="Roboto Light"/>
          <w:sz w:val="20"/>
          <w:szCs w:val="20"/>
          <w:lang w:val="en-US"/>
        </w:rPr>
        <w:t>2021.gada 2</w:t>
      </w:r>
      <w:r w:rsidR="001D582B">
        <w:rPr>
          <w:rFonts w:ascii="Roboto Light" w:hAnsi="Roboto Light"/>
          <w:sz w:val="20"/>
          <w:szCs w:val="20"/>
          <w:lang w:val="en-US"/>
        </w:rPr>
        <w:t>6</w:t>
      </w:r>
      <w:r w:rsidRPr="00B34C23">
        <w:rPr>
          <w:rFonts w:ascii="Roboto Light" w:hAnsi="Roboto Light"/>
          <w:sz w:val="20"/>
          <w:szCs w:val="20"/>
          <w:lang w:val="en-US"/>
        </w:rPr>
        <w:t>.februārī</w:t>
      </w:r>
    </w:p>
    <w:p w14:paraId="37A2B844" w14:textId="32F1DE6C" w:rsidR="00B34C23" w:rsidRDefault="00B34C23" w:rsidP="00AB6B7D">
      <w:pPr>
        <w:spacing w:after="0" w:line="276" w:lineRule="auto"/>
        <w:rPr>
          <w:rFonts w:ascii="Roboto Light" w:hAnsi="Roboto Light"/>
          <w:sz w:val="20"/>
          <w:szCs w:val="20"/>
          <w:lang w:val="en-US"/>
        </w:rPr>
      </w:pPr>
      <w:r w:rsidRPr="00B34C23">
        <w:rPr>
          <w:rFonts w:ascii="Roboto Light" w:hAnsi="Roboto Light"/>
          <w:sz w:val="20"/>
          <w:szCs w:val="20"/>
          <w:lang w:val="en-US"/>
        </w:rPr>
        <w:t>Nr.2021/</w:t>
      </w:r>
      <w:r w:rsidR="001D582B">
        <w:rPr>
          <w:rFonts w:ascii="Roboto Light" w:hAnsi="Roboto Light"/>
          <w:sz w:val="20"/>
          <w:szCs w:val="20"/>
          <w:lang w:val="en-US"/>
        </w:rPr>
        <w:t>269</w:t>
      </w:r>
    </w:p>
    <w:p w14:paraId="75D348F6" w14:textId="2BC48E8D" w:rsidR="00B34C23" w:rsidRPr="00B34C23" w:rsidRDefault="00B34C23" w:rsidP="00477697">
      <w:pPr>
        <w:spacing w:after="0" w:line="276" w:lineRule="auto"/>
        <w:jc w:val="right"/>
        <w:rPr>
          <w:rFonts w:ascii="Roboto Light" w:hAnsi="Roboto Light"/>
          <w:b/>
          <w:bCs/>
          <w:sz w:val="20"/>
          <w:szCs w:val="20"/>
          <w:lang w:val="en-US"/>
        </w:rPr>
      </w:pPr>
      <w:r w:rsidRPr="00B34C23">
        <w:rPr>
          <w:rFonts w:ascii="Roboto Light" w:hAnsi="Roboto Light"/>
          <w:b/>
          <w:bCs/>
          <w:sz w:val="20"/>
          <w:szCs w:val="20"/>
          <w:lang w:val="en-US"/>
        </w:rPr>
        <w:t>Latvijas Republikas Saeimas</w:t>
      </w:r>
    </w:p>
    <w:p w14:paraId="34A10E5A" w14:textId="2E9D84ED" w:rsidR="00B34C23" w:rsidRDefault="00B34C23" w:rsidP="00477697">
      <w:pPr>
        <w:spacing w:after="0" w:line="276" w:lineRule="auto"/>
        <w:jc w:val="right"/>
        <w:rPr>
          <w:rFonts w:ascii="Roboto Light" w:hAnsi="Roboto Light"/>
          <w:b/>
          <w:bCs/>
          <w:sz w:val="20"/>
          <w:szCs w:val="20"/>
          <w:lang w:val="en-US"/>
        </w:rPr>
      </w:pPr>
      <w:r w:rsidRPr="00B34C23">
        <w:rPr>
          <w:rFonts w:ascii="Roboto Light" w:hAnsi="Roboto Light"/>
          <w:b/>
          <w:bCs/>
          <w:sz w:val="20"/>
          <w:szCs w:val="20"/>
          <w:lang w:val="en-US"/>
        </w:rPr>
        <w:t>Aizsardzības, iekšlietu un korupcijas novēršanas komisijai</w:t>
      </w:r>
    </w:p>
    <w:p w14:paraId="6C01396F" w14:textId="1703CD90" w:rsidR="00B34C23" w:rsidRDefault="00B34C23" w:rsidP="00477697">
      <w:pPr>
        <w:spacing w:after="0" w:line="276" w:lineRule="auto"/>
        <w:jc w:val="right"/>
        <w:rPr>
          <w:rFonts w:ascii="Roboto Light" w:hAnsi="Roboto Light"/>
          <w:sz w:val="20"/>
          <w:szCs w:val="20"/>
          <w:lang w:val="en-US"/>
        </w:rPr>
      </w:pPr>
      <w:r>
        <w:rPr>
          <w:rFonts w:ascii="Roboto Light" w:hAnsi="Roboto Light"/>
          <w:sz w:val="20"/>
          <w:szCs w:val="20"/>
          <w:lang w:val="en-US"/>
        </w:rPr>
        <w:t>Jēkaba ielā 16, Rīgā, LV-1811</w:t>
      </w:r>
    </w:p>
    <w:p w14:paraId="07F1CF54" w14:textId="585D1C3B" w:rsidR="00B34C23" w:rsidRPr="00B34C23" w:rsidRDefault="00442089" w:rsidP="00477697">
      <w:pPr>
        <w:spacing w:after="0" w:line="276" w:lineRule="auto"/>
        <w:jc w:val="right"/>
        <w:rPr>
          <w:rFonts w:ascii="Roboto Light" w:hAnsi="Roboto Light"/>
          <w:sz w:val="20"/>
          <w:szCs w:val="20"/>
          <w:lang w:val="en-US"/>
        </w:rPr>
      </w:pPr>
      <w:hyperlink r:id="rId9" w:history="1">
        <w:r w:rsidR="00B34C23" w:rsidRPr="00AB33CA">
          <w:rPr>
            <w:rStyle w:val="Hyperlink"/>
            <w:rFonts w:ascii="Roboto Light" w:hAnsi="Roboto Light"/>
            <w:sz w:val="20"/>
            <w:szCs w:val="20"/>
            <w:lang w:val="en-US"/>
          </w:rPr>
          <w:t>Aizsardzibas.komisija@saeima.lv</w:t>
        </w:r>
      </w:hyperlink>
      <w:r w:rsidR="00B34C23">
        <w:rPr>
          <w:rFonts w:ascii="Roboto Light" w:hAnsi="Roboto Light"/>
          <w:sz w:val="20"/>
          <w:szCs w:val="20"/>
          <w:lang w:val="en-US"/>
        </w:rPr>
        <w:t xml:space="preserve">, </w:t>
      </w:r>
      <w:hyperlink r:id="rId10" w:history="1">
        <w:r w:rsidR="00B34C23" w:rsidRPr="00AB33CA">
          <w:rPr>
            <w:rStyle w:val="Hyperlink"/>
            <w:rFonts w:ascii="Roboto Light" w:hAnsi="Roboto Light"/>
            <w:sz w:val="20"/>
            <w:szCs w:val="20"/>
            <w:lang w:val="en-US"/>
          </w:rPr>
          <w:t>saeima@saeima.lv</w:t>
        </w:r>
      </w:hyperlink>
      <w:r w:rsidR="00B34C23">
        <w:rPr>
          <w:rFonts w:ascii="Roboto Light" w:hAnsi="Roboto Light"/>
          <w:sz w:val="20"/>
          <w:szCs w:val="20"/>
          <w:lang w:val="en-US"/>
        </w:rPr>
        <w:t xml:space="preserve"> </w:t>
      </w:r>
    </w:p>
    <w:p w14:paraId="67A01C5E" w14:textId="77777777" w:rsidR="00B34C23" w:rsidRPr="00B34C23" w:rsidRDefault="00B34C23" w:rsidP="00477697">
      <w:pPr>
        <w:spacing w:after="0" w:line="276" w:lineRule="auto"/>
        <w:rPr>
          <w:rFonts w:ascii="Roboto Light" w:hAnsi="Roboto Light"/>
          <w:sz w:val="20"/>
          <w:szCs w:val="20"/>
          <w:lang w:val="en-US"/>
        </w:rPr>
      </w:pPr>
    </w:p>
    <w:p w14:paraId="53BBFF65" w14:textId="5D95578F" w:rsidR="00A5788D" w:rsidRDefault="00A2749F" w:rsidP="00477697">
      <w:pPr>
        <w:spacing w:after="0" w:line="276" w:lineRule="auto"/>
        <w:rPr>
          <w:rFonts w:ascii="Roboto Light" w:hAnsi="Roboto Light"/>
          <w:b/>
          <w:bCs/>
          <w:sz w:val="20"/>
          <w:szCs w:val="20"/>
          <w:lang w:val="en-US"/>
        </w:rPr>
      </w:pPr>
      <w:r w:rsidRPr="00B34C23">
        <w:rPr>
          <w:rFonts w:ascii="Roboto Light" w:hAnsi="Roboto Light"/>
          <w:b/>
          <w:bCs/>
          <w:sz w:val="20"/>
          <w:szCs w:val="20"/>
          <w:lang w:val="en-US"/>
        </w:rPr>
        <w:t>Par interešu pārstāvības regulējum</w:t>
      </w:r>
      <w:r w:rsidR="00B34C23" w:rsidRPr="00B34C23">
        <w:rPr>
          <w:rFonts w:ascii="Roboto Light" w:hAnsi="Roboto Light"/>
          <w:b/>
          <w:bCs/>
          <w:sz w:val="20"/>
          <w:szCs w:val="20"/>
          <w:lang w:val="en-US"/>
        </w:rPr>
        <w:t>a principiem</w:t>
      </w:r>
    </w:p>
    <w:p w14:paraId="454CFFDC" w14:textId="36007EE1" w:rsidR="00B34C23" w:rsidRDefault="00B34C23" w:rsidP="00477697">
      <w:pPr>
        <w:spacing w:after="0" w:line="276" w:lineRule="auto"/>
        <w:rPr>
          <w:rFonts w:ascii="Roboto Light" w:hAnsi="Roboto Light"/>
          <w:b/>
          <w:bCs/>
          <w:sz w:val="20"/>
          <w:szCs w:val="20"/>
          <w:lang w:val="en-US"/>
        </w:rPr>
      </w:pPr>
    </w:p>
    <w:p w14:paraId="4C103D0D" w14:textId="1E531790" w:rsidR="00B34C23" w:rsidRDefault="00B34C23" w:rsidP="00477697">
      <w:pPr>
        <w:spacing w:after="0" w:line="276" w:lineRule="auto"/>
        <w:ind w:firstLine="720"/>
        <w:jc w:val="both"/>
        <w:rPr>
          <w:rFonts w:ascii="Roboto Light" w:hAnsi="Roboto Light"/>
          <w:sz w:val="20"/>
          <w:szCs w:val="20"/>
          <w:lang w:val="en-US"/>
        </w:rPr>
      </w:pPr>
      <w:r w:rsidRPr="00B34C23">
        <w:rPr>
          <w:rFonts w:ascii="Roboto Light" w:hAnsi="Roboto Light"/>
          <w:sz w:val="20"/>
          <w:szCs w:val="20"/>
          <w:lang w:val="en-US"/>
        </w:rPr>
        <w:t xml:space="preserve">Latvijas Tirdzniecības un rūpniecības kamera (turpmāk </w:t>
      </w:r>
      <w:r w:rsidR="00D36121">
        <w:rPr>
          <w:rFonts w:ascii="Roboto Light" w:hAnsi="Roboto Light"/>
          <w:sz w:val="20"/>
          <w:szCs w:val="20"/>
          <w:lang w:val="en-US"/>
        </w:rPr>
        <w:t>–</w:t>
      </w:r>
      <w:r w:rsidRPr="00B34C23">
        <w:rPr>
          <w:rFonts w:ascii="Roboto Light" w:hAnsi="Roboto Light"/>
          <w:sz w:val="20"/>
          <w:szCs w:val="20"/>
          <w:lang w:val="en-US"/>
        </w:rPr>
        <w:t xml:space="preserve"> LTRK) ir iepazinusies ar </w:t>
      </w:r>
      <w:r w:rsidR="00D36121">
        <w:rPr>
          <w:rFonts w:ascii="Roboto Light" w:hAnsi="Roboto Light"/>
          <w:sz w:val="20"/>
          <w:szCs w:val="20"/>
          <w:lang w:val="en-US"/>
        </w:rPr>
        <w:t xml:space="preserve">Saeimas Aizsardzības, iekšlietu un korupcijas novēršanas komisijas </w:t>
      </w:r>
      <w:r w:rsidR="00F420B6">
        <w:rPr>
          <w:rFonts w:ascii="Roboto Light" w:hAnsi="Roboto Light"/>
          <w:sz w:val="20"/>
          <w:szCs w:val="20"/>
          <w:lang w:val="en-US"/>
        </w:rPr>
        <w:t xml:space="preserve">(turpmāk arī – Komisijas) darba grupas </w:t>
      </w:r>
      <w:r w:rsidR="00AD71FB">
        <w:rPr>
          <w:rFonts w:ascii="Roboto Light" w:hAnsi="Roboto Light"/>
          <w:sz w:val="20"/>
          <w:szCs w:val="20"/>
          <w:lang w:val="en-US"/>
        </w:rPr>
        <w:t>interešu pārstāvības</w:t>
      </w:r>
      <w:r w:rsidR="00F420B6">
        <w:rPr>
          <w:rFonts w:ascii="Roboto Light" w:hAnsi="Roboto Light"/>
          <w:sz w:val="20"/>
          <w:szCs w:val="20"/>
          <w:lang w:val="en-US"/>
        </w:rPr>
        <w:t xml:space="preserve"> atklātības regulējum</w:t>
      </w:r>
      <w:r w:rsidR="00AD71FB">
        <w:rPr>
          <w:rFonts w:ascii="Roboto Light" w:hAnsi="Roboto Light"/>
          <w:sz w:val="20"/>
          <w:szCs w:val="20"/>
          <w:lang w:val="en-US"/>
        </w:rPr>
        <w:t>a izstrādei (turpmāk arī – Darba grupa) sagatavoto interešu pārstāvības regulējuma ietvarprinicpu apkopojumu</w:t>
      </w:r>
      <w:r w:rsidR="00DA2BCC">
        <w:rPr>
          <w:rStyle w:val="FootnoteReference"/>
          <w:rFonts w:ascii="Roboto Light" w:hAnsi="Roboto Light"/>
          <w:sz w:val="20"/>
          <w:szCs w:val="20"/>
          <w:lang w:val="en-US"/>
        </w:rPr>
        <w:footnoteReference w:id="1"/>
      </w:r>
      <w:r w:rsidR="00C749ED">
        <w:rPr>
          <w:rFonts w:ascii="Roboto Light" w:hAnsi="Roboto Light"/>
          <w:sz w:val="20"/>
          <w:szCs w:val="20"/>
          <w:lang w:val="en-US"/>
        </w:rPr>
        <w:t xml:space="preserve"> (turpmāk arī – Apkopojums)</w:t>
      </w:r>
      <w:r w:rsidR="00AD71FB">
        <w:rPr>
          <w:rFonts w:ascii="Roboto Light" w:hAnsi="Roboto Light"/>
          <w:sz w:val="20"/>
          <w:szCs w:val="20"/>
          <w:lang w:val="en-US"/>
        </w:rPr>
        <w:t>. LTRK pateicas Komisijai un Darba grupai par</w:t>
      </w:r>
      <w:r w:rsidR="00E72A9F">
        <w:rPr>
          <w:rFonts w:ascii="Roboto Light" w:hAnsi="Roboto Light"/>
          <w:sz w:val="20"/>
          <w:szCs w:val="20"/>
          <w:lang w:val="en-US"/>
        </w:rPr>
        <w:t xml:space="preserve"> pievērsto uzmanību interešu pārstāvības nozares</w:t>
      </w:r>
      <w:r w:rsidR="00F96255">
        <w:rPr>
          <w:rFonts w:ascii="Roboto Light" w:hAnsi="Roboto Light"/>
          <w:sz w:val="20"/>
          <w:szCs w:val="20"/>
          <w:lang w:val="en-US"/>
        </w:rPr>
        <w:t xml:space="preserve"> regulēšanas</w:t>
      </w:r>
      <w:r w:rsidR="00E72A9F">
        <w:rPr>
          <w:rFonts w:ascii="Roboto Light" w:hAnsi="Roboto Light"/>
          <w:sz w:val="20"/>
          <w:szCs w:val="20"/>
          <w:lang w:val="en-US"/>
        </w:rPr>
        <w:t xml:space="preserve"> jautājumiem un pauž pārliecību</w:t>
      </w:r>
      <w:r w:rsidR="005F55D2">
        <w:rPr>
          <w:rFonts w:ascii="Roboto Light" w:hAnsi="Roboto Light"/>
          <w:sz w:val="20"/>
          <w:szCs w:val="20"/>
          <w:lang w:val="en-US"/>
        </w:rPr>
        <w:t>, ka interešu pārstāvības regulējum</w:t>
      </w:r>
      <w:r w:rsidR="007832D0">
        <w:rPr>
          <w:rFonts w:ascii="Roboto Light" w:hAnsi="Roboto Light"/>
          <w:sz w:val="20"/>
          <w:szCs w:val="20"/>
          <w:lang w:val="en-US"/>
        </w:rPr>
        <w:t xml:space="preserve">a izstrādes process pievērsīs uzmanību </w:t>
      </w:r>
      <w:r w:rsidR="00B2167B">
        <w:rPr>
          <w:rFonts w:ascii="Roboto Light" w:hAnsi="Roboto Light"/>
          <w:sz w:val="20"/>
          <w:szCs w:val="20"/>
          <w:lang w:val="en-US"/>
        </w:rPr>
        <w:t>kon</w:t>
      </w:r>
      <w:r w:rsidR="00F96255">
        <w:rPr>
          <w:rFonts w:ascii="Roboto Light" w:hAnsi="Roboto Light"/>
          <w:sz w:val="20"/>
          <w:szCs w:val="20"/>
          <w:lang w:val="en-US"/>
        </w:rPr>
        <w:t>c</w:t>
      </w:r>
      <w:r w:rsidR="00B2167B">
        <w:rPr>
          <w:rFonts w:ascii="Roboto Light" w:hAnsi="Roboto Light"/>
          <w:sz w:val="20"/>
          <w:szCs w:val="20"/>
          <w:lang w:val="en-US"/>
        </w:rPr>
        <w:t xml:space="preserve">eptuālām problēmām instrešu pārstāvības jomā. Vienlaikus uzsveram, ka LTRK ieskatā jebkādas jaunas sistēmas izveide nedrīkst radīt </w:t>
      </w:r>
      <w:r w:rsidR="00AB6B7D">
        <w:rPr>
          <w:rFonts w:ascii="Roboto Light" w:hAnsi="Roboto Light"/>
          <w:sz w:val="20"/>
          <w:szCs w:val="20"/>
          <w:lang w:val="en-US"/>
        </w:rPr>
        <w:t>negatīvu ietekmi uz</w:t>
      </w:r>
      <w:r w:rsidR="00B2167B">
        <w:rPr>
          <w:rFonts w:ascii="Roboto Light" w:hAnsi="Roboto Light"/>
          <w:sz w:val="20"/>
          <w:szCs w:val="20"/>
          <w:lang w:val="en-US"/>
        </w:rPr>
        <w:t xml:space="preserve"> </w:t>
      </w:r>
      <w:r w:rsidR="007C4927">
        <w:rPr>
          <w:rFonts w:ascii="Roboto Light" w:hAnsi="Roboto Light"/>
          <w:sz w:val="20"/>
          <w:szCs w:val="20"/>
          <w:lang w:val="en-US"/>
        </w:rPr>
        <w:t>līdz šim brīdim veiksmīg</w:t>
      </w:r>
      <w:r w:rsidR="006C4BFB">
        <w:rPr>
          <w:rFonts w:ascii="Roboto Light" w:hAnsi="Roboto Light"/>
          <w:sz w:val="20"/>
          <w:szCs w:val="20"/>
          <w:lang w:val="en-US"/>
        </w:rPr>
        <w:t>o</w:t>
      </w:r>
      <w:r w:rsidR="007C4927">
        <w:rPr>
          <w:rFonts w:ascii="Roboto Light" w:hAnsi="Roboto Light"/>
          <w:sz w:val="20"/>
          <w:szCs w:val="20"/>
          <w:lang w:val="en-US"/>
        </w:rPr>
        <w:t xml:space="preserve"> </w:t>
      </w:r>
      <w:r w:rsidR="00B2167B">
        <w:rPr>
          <w:rFonts w:ascii="Roboto Light" w:hAnsi="Roboto Light"/>
          <w:sz w:val="20"/>
          <w:szCs w:val="20"/>
          <w:lang w:val="en-US"/>
        </w:rPr>
        <w:t>nevalstiskā sektora saziņ</w:t>
      </w:r>
      <w:r w:rsidR="006C4BFB">
        <w:rPr>
          <w:rFonts w:ascii="Roboto Light" w:hAnsi="Roboto Light"/>
          <w:sz w:val="20"/>
          <w:szCs w:val="20"/>
          <w:lang w:val="en-US"/>
        </w:rPr>
        <w:t>u</w:t>
      </w:r>
      <w:r w:rsidR="00B2167B">
        <w:rPr>
          <w:rFonts w:ascii="Roboto Light" w:hAnsi="Roboto Light"/>
          <w:sz w:val="20"/>
          <w:szCs w:val="20"/>
          <w:lang w:val="en-US"/>
        </w:rPr>
        <w:t xml:space="preserve"> ar valsts pārvaldi</w:t>
      </w:r>
      <w:r w:rsidR="00F96255">
        <w:rPr>
          <w:rFonts w:ascii="Roboto Light" w:hAnsi="Roboto Light"/>
          <w:sz w:val="20"/>
          <w:szCs w:val="20"/>
          <w:lang w:val="en-US"/>
        </w:rPr>
        <w:t>.</w:t>
      </w:r>
      <w:r w:rsidR="00B2167B">
        <w:rPr>
          <w:rFonts w:ascii="Roboto Light" w:hAnsi="Roboto Light"/>
          <w:sz w:val="20"/>
          <w:szCs w:val="20"/>
          <w:lang w:val="en-US"/>
        </w:rPr>
        <w:t xml:space="preserve"> </w:t>
      </w:r>
      <w:r w:rsidR="00F96255">
        <w:rPr>
          <w:rFonts w:ascii="Roboto Light" w:hAnsi="Roboto Light"/>
          <w:sz w:val="20"/>
          <w:szCs w:val="20"/>
          <w:lang w:val="en-US"/>
        </w:rPr>
        <w:t>T</w:t>
      </w:r>
      <w:r w:rsidR="00B2167B">
        <w:rPr>
          <w:rFonts w:ascii="Roboto Light" w:hAnsi="Roboto Light"/>
          <w:sz w:val="20"/>
          <w:szCs w:val="20"/>
          <w:lang w:val="en-US"/>
        </w:rPr>
        <w:t xml:space="preserve">ādējādi jauna </w:t>
      </w:r>
      <w:r w:rsidR="007C4927">
        <w:rPr>
          <w:rFonts w:ascii="Roboto Light" w:hAnsi="Roboto Light"/>
          <w:sz w:val="20"/>
          <w:szCs w:val="20"/>
          <w:lang w:val="en-US"/>
        </w:rPr>
        <w:t xml:space="preserve">tiesiskā </w:t>
      </w:r>
      <w:r w:rsidR="00B2167B">
        <w:rPr>
          <w:rFonts w:ascii="Roboto Light" w:hAnsi="Roboto Light"/>
          <w:sz w:val="20"/>
          <w:szCs w:val="20"/>
          <w:lang w:val="en-US"/>
        </w:rPr>
        <w:t xml:space="preserve">regulējuma izstrādei </w:t>
      </w:r>
      <w:r w:rsidR="00F96255">
        <w:rPr>
          <w:rFonts w:ascii="Roboto Light" w:hAnsi="Roboto Light"/>
          <w:sz w:val="20"/>
          <w:szCs w:val="20"/>
          <w:lang w:val="en-US"/>
        </w:rPr>
        <w:t xml:space="preserve">par pamatu jākalpo precīzi apzinātiem problēmjautājumiem, kā arī </w:t>
      </w:r>
      <w:r w:rsidR="00C973D5">
        <w:rPr>
          <w:rFonts w:ascii="Roboto Light" w:hAnsi="Roboto Light"/>
          <w:sz w:val="20"/>
          <w:szCs w:val="20"/>
          <w:lang w:val="en-US"/>
        </w:rPr>
        <w:t>jābūt precīzi apzinātām iespējamām kolīzijām ar spēkā esošo tiesisko regulējumu</w:t>
      </w:r>
      <w:r w:rsidR="00403E13">
        <w:rPr>
          <w:rFonts w:ascii="Roboto Light" w:hAnsi="Roboto Light"/>
          <w:sz w:val="20"/>
          <w:szCs w:val="20"/>
          <w:lang w:val="en-US"/>
        </w:rPr>
        <w:t>, kas nosaka prinicpus sabiedrības līdzdalībai politikas veidošanā</w:t>
      </w:r>
      <w:r w:rsidR="00C973D5">
        <w:rPr>
          <w:rFonts w:ascii="Roboto Light" w:hAnsi="Roboto Light"/>
          <w:sz w:val="20"/>
          <w:szCs w:val="20"/>
          <w:lang w:val="en-US"/>
        </w:rPr>
        <w:t xml:space="preserve">. </w:t>
      </w:r>
    </w:p>
    <w:p w14:paraId="18F508E4" w14:textId="06C5C607" w:rsidR="00B75EEB" w:rsidRDefault="00B75EEB" w:rsidP="00AB6B7D">
      <w:pPr>
        <w:spacing w:line="276" w:lineRule="auto"/>
        <w:ind w:firstLine="720"/>
        <w:jc w:val="both"/>
        <w:rPr>
          <w:rFonts w:ascii="Roboto Light" w:hAnsi="Roboto Light"/>
          <w:sz w:val="20"/>
          <w:szCs w:val="20"/>
          <w:lang w:val="en-US"/>
        </w:rPr>
      </w:pPr>
      <w:r>
        <w:rPr>
          <w:rFonts w:ascii="Roboto Light" w:hAnsi="Roboto Light"/>
          <w:sz w:val="20"/>
          <w:szCs w:val="20"/>
          <w:lang w:val="en-US"/>
        </w:rPr>
        <w:t xml:space="preserve">LTRK, iepazīstoties ar Darba grupas izstrādāto interešu pārstāvības regulējuma ievarprincipu apkopojumu, vērš uzmanību uz turpmāk norādītajiem </w:t>
      </w:r>
      <w:r w:rsidR="000236BD">
        <w:rPr>
          <w:rFonts w:ascii="Roboto Light" w:hAnsi="Roboto Light"/>
          <w:sz w:val="20"/>
          <w:szCs w:val="20"/>
          <w:lang w:val="en-US"/>
        </w:rPr>
        <w:t xml:space="preserve">jautājumiem, kuru </w:t>
      </w:r>
      <w:r w:rsidR="008425EC">
        <w:rPr>
          <w:rFonts w:ascii="Roboto Light" w:hAnsi="Roboto Light"/>
          <w:sz w:val="20"/>
          <w:szCs w:val="20"/>
          <w:lang w:val="en-US"/>
        </w:rPr>
        <w:t>risināšana ir būtiska iepriekš norādīto mērķu sasniegšanā.</w:t>
      </w:r>
    </w:p>
    <w:p w14:paraId="6C4AA506" w14:textId="0C4D8F9D" w:rsidR="008425EC" w:rsidRDefault="008425EC" w:rsidP="008425EC">
      <w:pPr>
        <w:pStyle w:val="ListParagraph"/>
        <w:numPr>
          <w:ilvl w:val="0"/>
          <w:numId w:val="2"/>
        </w:numPr>
        <w:spacing w:line="276" w:lineRule="auto"/>
        <w:jc w:val="both"/>
        <w:rPr>
          <w:rFonts w:ascii="Roboto Light" w:hAnsi="Roboto Light"/>
          <w:b/>
          <w:bCs/>
          <w:sz w:val="20"/>
          <w:szCs w:val="20"/>
          <w:lang w:val="en-US"/>
        </w:rPr>
      </w:pPr>
      <w:r w:rsidRPr="00A63AC0">
        <w:rPr>
          <w:rFonts w:ascii="Roboto Light" w:hAnsi="Roboto Light"/>
          <w:b/>
          <w:bCs/>
          <w:sz w:val="20"/>
          <w:szCs w:val="20"/>
          <w:lang w:val="en-US"/>
        </w:rPr>
        <w:t>Jaunā regulējuma sazobe ar spēkā esošo sabiedrības līdzdalības</w:t>
      </w:r>
      <w:r w:rsidR="00DB04A9">
        <w:rPr>
          <w:rFonts w:ascii="Roboto Light" w:hAnsi="Roboto Light"/>
          <w:b/>
          <w:bCs/>
          <w:sz w:val="20"/>
          <w:szCs w:val="20"/>
          <w:lang w:val="en-US"/>
        </w:rPr>
        <w:t xml:space="preserve"> tiesisko</w:t>
      </w:r>
      <w:r w:rsidRPr="00A63AC0">
        <w:rPr>
          <w:rFonts w:ascii="Roboto Light" w:hAnsi="Roboto Light"/>
          <w:b/>
          <w:bCs/>
          <w:sz w:val="20"/>
          <w:szCs w:val="20"/>
          <w:lang w:val="en-US"/>
        </w:rPr>
        <w:t xml:space="preserve"> regulējumu.</w:t>
      </w:r>
      <w:r w:rsidR="00A63AC0">
        <w:rPr>
          <w:rFonts w:ascii="Roboto Light" w:hAnsi="Roboto Light"/>
          <w:b/>
          <w:bCs/>
          <w:sz w:val="20"/>
          <w:szCs w:val="20"/>
          <w:lang w:val="en-US"/>
        </w:rPr>
        <w:t xml:space="preserve"> </w:t>
      </w:r>
      <w:r w:rsidR="00A63AC0">
        <w:rPr>
          <w:rFonts w:ascii="Roboto Light" w:hAnsi="Roboto Light"/>
          <w:sz w:val="20"/>
          <w:szCs w:val="20"/>
          <w:lang w:val="en-US"/>
        </w:rPr>
        <w:t xml:space="preserve">Iepazīstoties ar regulējuma ietvarprincipu apkopojumu, secināms, ka piedāvājumā nav iekļauts skaidrs redzējums </w:t>
      </w:r>
      <w:r w:rsidR="00A63AC0" w:rsidRPr="00A63AC0">
        <w:rPr>
          <w:rFonts w:ascii="Roboto Light" w:hAnsi="Roboto Light"/>
          <w:sz w:val="20"/>
          <w:szCs w:val="20"/>
          <w:lang w:val="en-US"/>
        </w:rPr>
        <w:t xml:space="preserve">par izmaiņām spēkā esošajā </w:t>
      </w:r>
      <w:r w:rsidR="00BE09C0">
        <w:rPr>
          <w:rFonts w:ascii="Roboto Light" w:hAnsi="Roboto Light"/>
          <w:sz w:val="20"/>
          <w:szCs w:val="20"/>
          <w:lang w:val="en-US"/>
        </w:rPr>
        <w:t xml:space="preserve">tiesiskajā </w:t>
      </w:r>
      <w:r w:rsidR="00A63AC0" w:rsidRPr="00A63AC0">
        <w:rPr>
          <w:rFonts w:ascii="Roboto Light" w:hAnsi="Roboto Light"/>
          <w:sz w:val="20"/>
          <w:szCs w:val="20"/>
          <w:lang w:val="en-US"/>
        </w:rPr>
        <w:t>regulējumā attiecībā uz sabiedrības līdzdalību normatīvo aktu un politikas plānošanas dokumentu izstrādē.</w:t>
      </w:r>
      <w:r w:rsidR="00A63AC0">
        <w:rPr>
          <w:rFonts w:ascii="Roboto Light" w:hAnsi="Roboto Light"/>
          <w:b/>
          <w:bCs/>
          <w:sz w:val="20"/>
          <w:szCs w:val="20"/>
          <w:lang w:val="en-US"/>
        </w:rPr>
        <w:t xml:space="preserve"> </w:t>
      </w:r>
      <w:r w:rsidR="00C749ED" w:rsidRPr="00C749ED">
        <w:rPr>
          <w:rFonts w:ascii="Roboto Light" w:hAnsi="Roboto Light"/>
          <w:sz w:val="20"/>
          <w:szCs w:val="20"/>
          <w:lang w:val="en-US"/>
        </w:rPr>
        <w:t xml:space="preserve">Lai arī </w:t>
      </w:r>
      <w:r w:rsidR="00C749ED">
        <w:rPr>
          <w:rFonts w:ascii="Roboto Light" w:hAnsi="Roboto Light"/>
          <w:sz w:val="20"/>
          <w:szCs w:val="20"/>
          <w:lang w:val="en-US"/>
        </w:rPr>
        <w:t>Apkopojumā norādīts, ka “</w:t>
      </w:r>
      <w:r w:rsidR="00C749ED" w:rsidRPr="00C749ED">
        <w:rPr>
          <w:rFonts w:ascii="Roboto Light" w:hAnsi="Roboto Light"/>
          <w:sz w:val="20"/>
          <w:szCs w:val="20"/>
          <w:lang w:val="en-US"/>
        </w:rPr>
        <w:t>Lai izvairītos no dublēšanās, likuma tvēruma nodrošināšanai ņems vērā līdzdalības procedūras, ko jau paredz esošie normatīvie akti, t.sk., valsts pārvaldes iestāžu darba grupas un konsultatīvās padomes u.c., Trīspusējā sadarbības padomes darba grupas</w:t>
      </w:r>
      <w:r w:rsidR="00C749ED">
        <w:rPr>
          <w:rFonts w:ascii="Roboto Light" w:hAnsi="Roboto Light"/>
          <w:sz w:val="20"/>
          <w:szCs w:val="20"/>
          <w:lang w:val="en-US"/>
        </w:rPr>
        <w:t>”, Apkopojums nesniedz atbildi par sabiedrības līdzdalību diskusiju dokumentu izstrādē ministriju organizētu publisko apspriešanu ietvaros, kā arī Ministru kabineta kārtības rullī</w:t>
      </w:r>
      <w:r w:rsidR="00D63433">
        <w:rPr>
          <w:rFonts w:ascii="Roboto Light" w:hAnsi="Roboto Light"/>
          <w:sz w:val="20"/>
          <w:szCs w:val="20"/>
          <w:lang w:val="en-US"/>
        </w:rPr>
        <w:t>, 2009.gada 25.augusta Ministu kabineta noteikumos Nr.970 “</w:t>
      </w:r>
      <w:r w:rsidR="00D63433" w:rsidRPr="00D63433">
        <w:rPr>
          <w:rFonts w:ascii="Roboto Light" w:hAnsi="Roboto Light"/>
          <w:sz w:val="20"/>
          <w:szCs w:val="20"/>
          <w:lang w:val="en-US"/>
        </w:rPr>
        <w:t>Sabiedrības līdzdalības kārtība attīstības plānošanas procesā</w:t>
      </w:r>
      <w:r w:rsidR="00D63433">
        <w:rPr>
          <w:rFonts w:ascii="Roboto Light" w:hAnsi="Roboto Light"/>
          <w:sz w:val="20"/>
          <w:szCs w:val="20"/>
          <w:lang w:val="en-US"/>
        </w:rPr>
        <w:t>” un citos normatīvajos aktos</w:t>
      </w:r>
      <w:r w:rsidR="00C749ED">
        <w:rPr>
          <w:rFonts w:ascii="Roboto Light" w:hAnsi="Roboto Light"/>
          <w:sz w:val="20"/>
          <w:szCs w:val="20"/>
          <w:lang w:val="en-US"/>
        </w:rPr>
        <w:t xml:space="preserve"> nostiprināto kārtību</w:t>
      </w:r>
      <w:r w:rsidR="00BF5FE5">
        <w:rPr>
          <w:rFonts w:ascii="Roboto Light" w:hAnsi="Roboto Light"/>
          <w:sz w:val="20"/>
          <w:szCs w:val="20"/>
          <w:lang w:val="en-US"/>
        </w:rPr>
        <w:t xml:space="preserve"> sabiedrības līdzdalības īstenošanai</w:t>
      </w:r>
      <w:r w:rsidR="00C749ED">
        <w:rPr>
          <w:rFonts w:ascii="Roboto Light" w:hAnsi="Roboto Light"/>
          <w:sz w:val="20"/>
          <w:szCs w:val="20"/>
          <w:lang w:val="en-US"/>
        </w:rPr>
        <w:t xml:space="preserve">. </w:t>
      </w:r>
      <w:r w:rsidR="006E32C5">
        <w:rPr>
          <w:rFonts w:ascii="Roboto Light" w:hAnsi="Roboto Light"/>
          <w:sz w:val="20"/>
          <w:szCs w:val="20"/>
          <w:lang w:val="en-US"/>
        </w:rPr>
        <w:t>Apkopojums nesniedz atbildi, vai tiks likvidētas līdšinējās sabiedrības līdzdalības formas, paredzot, ka sabiedrības līdzdalība tiks īstenota tikai caur interešu pārstāvības atklātības regulējuma prizmu un būs pieejama tikai reģistrētiem interešu pārstāvjiem.</w:t>
      </w:r>
      <w:r w:rsidR="00A0170A">
        <w:rPr>
          <w:rFonts w:ascii="Roboto Light" w:hAnsi="Roboto Light"/>
          <w:sz w:val="20"/>
          <w:szCs w:val="20"/>
          <w:lang w:val="en-US"/>
        </w:rPr>
        <w:t xml:space="preserve"> Vēršam uzmanību, ka sabiedrības līdzdalības tiesības aizsargā Eiropas Padomes Cilvēktiesību un pamatbrīvību aizsardzības konvencijas 10.</w:t>
      </w:r>
      <w:r w:rsidR="00972FD0">
        <w:rPr>
          <w:rFonts w:ascii="Roboto Light" w:hAnsi="Roboto Light"/>
          <w:sz w:val="20"/>
          <w:szCs w:val="20"/>
          <w:lang w:val="en-US"/>
        </w:rPr>
        <w:t> </w:t>
      </w:r>
      <w:r w:rsidR="00A0170A">
        <w:rPr>
          <w:rFonts w:ascii="Roboto Light" w:hAnsi="Roboto Light"/>
          <w:sz w:val="20"/>
          <w:szCs w:val="20"/>
          <w:lang w:val="en-US"/>
        </w:rPr>
        <w:t>pants, jo ikvienai personai ir tiesības uz informācijas un ideju izplatīšanu</w:t>
      </w:r>
      <w:r w:rsidR="008416FE">
        <w:rPr>
          <w:rFonts w:ascii="Roboto Light" w:hAnsi="Roboto Light"/>
          <w:sz w:val="20"/>
          <w:szCs w:val="20"/>
          <w:lang w:val="en-US"/>
        </w:rPr>
        <w:t>, tostarp interešu pārstāvības ietvaros</w:t>
      </w:r>
      <w:r w:rsidR="00A0170A">
        <w:rPr>
          <w:rFonts w:ascii="Roboto Light" w:hAnsi="Roboto Light"/>
          <w:sz w:val="20"/>
          <w:szCs w:val="20"/>
          <w:lang w:val="en-US"/>
        </w:rPr>
        <w:t xml:space="preserve">. </w:t>
      </w:r>
    </w:p>
    <w:p w14:paraId="3B46F351" w14:textId="327C8F32" w:rsidR="00B67C26" w:rsidRPr="00CA6077" w:rsidRDefault="00B67C26" w:rsidP="00B67C26">
      <w:pPr>
        <w:pStyle w:val="ListParagraph"/>
        <w:numPr>
          <w:ilvl w:val="0"/>
          <w:numId w:val="2"/>
        </w:numPr>
        <w:spacing w:line="276" w:lineRule="auto"/>
        <w:jc w:val="both"/>
        <w:rPr>
          <w:rFonts w:ascii="Roboto Light" w:hAnsi="Roboto Light"/>
          <w:b/>
          <w:bCs/>
          <w:sz w:val="20"/>
          <w:szCs w:val="20"/>
          <w:lang w:val="en-US"/>
        </w:rPr>
      </w:pPr>
      <w:r>
        <w:rPr>
          <w:rFonts w:ascii="Roboto Light" w:hAnsi="Roboto Light"/>
          <w:b/>
          <w:bCs/>
          <w:sz w:val="20"/>
          <w:szCs w:val="20"/>
          <w:lang w:val="en-US"/>
        </w:rPr>
        <w:t xml:space="preserve">Netieša saziņa ar politikas veidotājiem. </w:t>
      </w:r>
      <w:r w:rsidRPr="00B67C26">
        <w:rPr>
          <w:rFonts w:ascii="Roboto Light" w:hAnsi="Roboto Light"/>
          <w:sz w:val="20"/>
          <w:szCs w:val="20"/>
          <w:lang w:val="en-US"/>
        </w:rPr>
        <w:t>Likuma tvēruma definējumā noteikts, ka interešu pārstāvība ir ikviena tieša vai netieša saziņa ar amatpersonām un politikas veidotājiem</w:t>
      </w:r>
      <w:r>
        <w:rPr>
          <w:rFonts w:ascii="Roboto Light" w:hAnsi="Roboto Light"/>
          <w:sz w:val="20"/>
          <w:szCs w:val="20"/>
          <w:lang w:val="en-US"/>
        </w:rPr>
        <w:t xml:space="preserve">. Apkopojums nesniedz precīzu atbildi, kā </w:t>
      </w:r>
      <w:r w:rsidR="00C95B43">
        <w:rPr>
          <w:rFonts w:ascii="Roboto Light" w:hAnsi="Roboto Light"/>
          <w:sz w:val="20"/>
          <w:szCs w:val="20"/>
          <w:lang w:val="en-US"/>
        </w:rPr>
        <w:t xml:space="preserve">un kādā apmērā </w:t>
      </w:r>
      <w:r>
        <w:rPr>
          <w:rFonts w:ascii="Roboto Light" w:hAnsi="Roboto Light"/>
          <w:sz w:val="20"/>
          <w:szCs w:val="20"/>
          <w:lang w:val="en-US"/>
        </w:rPr>
        <w:t>plānots fiksēt dažādu netiešo saziņu, tostarp neformālā veidā un, piemēram, sociālajos tīklos. Aicinām skaidrot, kādi pienākumi attiecībā uz netiešas komunikācijas fiksēšanas iecerēti attiecībā uz publiskās pārvaldes pārstāvjiem un interešu pārstāvjiem</w:t>
      </w:r>
      <w:r w:rsidR="007E3B19">
        <w:rPr>
          <w:rFonts w:ascii="Roboto Light" w:hAnsi="Roboto Light"/>
          <w:sz w:val="20"/>
          <w:szCs w:val="20"/>
          <w:lang w:val="en-US"/>
        </w:rPr>
        <w:t xml:space="preserve">, kā arī sniegt vērtējumu par papildus uzlikto pienākumu iespējamo ietekmi uz iepriekšminēto pušu komunikācijas principiem. </w:t>
      </w:r>
    </w:p>
    <w:p w14:paraId="4791B790" w14:textId="2B497439" w:rsidR="00CA6077" w:rsidRPr="007F12A3" w:rsidRDefault="00CA6077" w:rsidP="00B67C26">
      <w:pPr>
        <w:pStyle w:val="ListParagraph"/>
        <w:numPr>
          <w:ilvl w:val="0"/>
          <w:numId w:val="2"/>
        </w:numPr>
        <w:spacing w:line="276" w:lineRule="auto"/>
        <w:jc w:val="both"/>
        <w:rPr>
          <w:rFonts w:ascii="Roboto Light" w:hAnsi="Roboto Light"/>
          <w:b/>
          <w:bCs/>
          <w:sz w:val="20"/>
          <w:szCs w:val="20"/>
          <w:lang w:val="en-US"/>
        </w:rPr>
      </w:pPr>
      <w:r>
        <w:rPr>
          <w:rFonts w:ascii="Roboto Light" w:hAnsi="Roboto Light"/>
          <w:b/>
          <w:bCs/>
          <w:sz w:val="20"/>
          <w:szCs w:val="20"/>
          <w:lang w:val="en-US"/>
        </w:rPr>
        <w:t xml:space="preserve">Obligāts interešu pārstāvju reģistrācijas pienākums. </w:t>
      </w:r>
      <w:r w:rsidR="007F12A3" w:rsidRPr="007F12A3">
        <w:rPr>
          <w:rFonts w:ascii="Roboto Light" w:hAnsi="Roboto Light"/>
          <w:sz w:val="20"/>
          <w:szCs w:val="20"/>
          <w:lang w:val="en-US"/>
        </w:rPr>
        <w:t xml:space="preserve">Apkopojumā norādīts, ka </w:t>
      </w:r>
      <w:r w:rsidR="007F12A3">
        <w:rPr>
          <w:rFonts w:ascii="Roboto Light" w:hAnsi="Roboto Light"/>
          <w:sz w:val="20"/>
          <w:szCs w:val="20"/>
          <w:lang w:val="en-US"/>
        </w:rPr>
        <w:t>būtu veidojams interešu pārstāvju reģistrs, kas būtu vienots un obligāts informatīvs reģistrs. LTRK aicina izvērtēt iespēju obligātas reģistrācijas vietā izvēlēties darbības paziņošanas mehānismu. LTR</w:t>
      </w:r>
      <w:r w:rsidR="00CA2C44">
        <w:rPr>
          <w:rFonts w:ascii="Roboto Light" w:hAnsi="Roboto Light"/>
          <w:sz w:val="20"/>
          <w:szCs w:val="20"/>
          <w:lang w:val="en-US"/>
        </w:rPr>
        <w:t>K</w:t>
      </w:r>
      <w:r w:rsidR="007F12A3">
        <w:rPr>
          <w:rFonts w:ascii="Roboto Light" w:hAnsi="Roboto Light"/>
          <w:sz w:val="20"/>
          <w:szCs w:val="20"/>
          <w:lang w:val="en-US"/>
        </w:rPr>
        <w:t xml:space="preserve"> ieskatā, vērtējot iespējamos interešu pārstāvju reģistra darbības mehānismus, īpaši jāņem vērā iespējamie riski sasitībā ar iespējamu līdzšinējo sabiedrības līdzdalības formātu deformāciju. </w:t>
      </w:r>
      <w:r w:rsidR="00D62150">
        <w:rPr>
          <w:rFonts w:ascii="Roboto Light" w:hAnsi="Roboto Light"/>
          <w:sz w:val="20"/>
          <w:szCs w:val="20"/>
          <w:lang w:val="en-US"/>
        </w:rPr>
        <w:t xml:space="preserve">Tāpat jāņem vērā, ka gadījumā, ja reģistrācijas process aizņemtu </w:t>
      </w:r>
      <w:r w:rsidR="00D62150">
        <w:rPr>
          <w:rFonts w:ascii="Roboto Light" w:hAnsi="Roboto Light"/>
          <w:sz w:val="20"/>
          <w:szCs w:val="20"/>
          <w:lang w:val="en-US"/>
        </w:rPr>
        <w:lastRenderedPageBreak/>
        <w:t>vairākas dienas vai nedēļas, var tikt būtiski ierobežotas privātperosnu tiesības īstenot līdzdalību normatīvo aktu un politikas plānošanas dokumentu izstrādē.</w:t>
      </w:r>
    </w:p>
    <w:p w14:paraId="6201F5F6" w14:textId="61F88842" w:rsidR="00B67C26" w:rsidRPr="00BA7441" w:rsidRDefault="00B67C26" w:rsidP="00B67C26">
      <w:pPr>
        <w:pStyle w:val="ListParagraph"/>
        <w:numPr>
          <w:ilvl w:val="0"/>
          <w:numId w:val="2"/>
        </w:numPr>
        <w:spacing w:line="276" w:lineRule="auto"/>
        <w:jc w:val="both"/>
        <w:rPr>
          <w:rFonts w:ascii="Roboto Light" w:hAnsi="Roboto Light"/>
          <w:b/>
          <w:bCs/>
          <w:sz w:val="20"/>
          <w:szCs w:val="20"/>
          <w:lang w:val="en-US"/>
        </w:rPr>
      </w:pPr>
      <w:r>
        <w:rPr>
          <w:rFonts w:ascii="Roboto Light" w:hAnsi="Roboto Light"/>
          <w:b/>
          <w:bCs/>
          <w:sz w:val="20"/>
          <w:szCs w:val="20"/>
          <w:lang w:val="en-US"/>
        </w:rPr>
        <w:t>Interešu pārstāvju reģistram sniedzamās informācijas apmērs.</w:t>
      </w:r>
      <w:r>
        <w:rPr>
          <w:rFonts w:ascii="Roboto Light" w:hAnsi="Roboto Light"/>
          <w:sz w:val="20"/>
          <w:szCs w:val="20"/>
          <w:lang w:val="en-US"/>
        </w:rPr>
        <w:t xml:space="preserve"> </w:t>
      </w:r>
      <w:r w:rsidR="000A5B1A">
        <w:rPr>
          <w:rFonts w:ascii="Roboto Light" w:hAnsi="Roboto Light"/>
          <w:sz w:val="20"/>
          <w:szCs w:val="20"/>
          <w:lang w:val="en-US"/>
        </w:rPr>
        <w:t xml:space="preserve">Apkopojumā norādīts, ka </w:t>
      </w:r>
      <w:r w:rsidR="00BA7441">
        <w:rPr>
          <w:rFonts w:ascii="Roboto Light" w:hAnsi="Roboto Light"/>
          <w:sz w:val="20"/>
          <w:szCs w:val="20"/>
          <w:lang w:val="en-US"/>
        </w:rPr>
        <w:t xml:space="preserve">jaunizveidojamajā interešu pārstāvju reģistrā būtu </w:t>
      </w:r>
      <w:r w:rsidR="00BA7441" w:rsidRPr="00BA7441">
        <w:rPr>
          <w:rFonts w:ascii="Roboto Light" w:hAnsi="Roboto Light"/>
          <w:sz w:val="20"/>
          <w:szCs w:val="20"/>
          <w:lang w:val="en-US"/>
        </w:rPr>
        <w:t xml:space="preserve">jāsniedz ziņas par organizāciju, </w:t>
      </w:r>
      <w:r w:rsidR="00BA7441">
        <w:rPr>
          <w:rFonts w:ascii="Roboto Light" w:hAnsi="Roboto Light"/>
          <w:sz w:val="20"/>
          <w:szCs w:val="20"/>
          <w:lang w:val="en-US"/>
        </w:rPr>
        <w:t xml:space="preserve">tās </w:t>
      </w:r>
      <w:r w:rsidR="00BA7441" w:rsidRPr="00BA7441">
        <w:rPr>
          <w:rFonts w:ascii="Roboto Light" w:hAnsi="Roboto Light"/>
          <w:sz w:val="20"/>
          <w:szCs w:val="20"/>
          <w:lang w:val="en-US"/>
        </w:rPr>
        <w:t xml:space="preserve">biedriem, ja tādi ir, </w:t>
      </w:r>
      <w:r w:rsidR="00BA7441">
        <w:rPr>
          <w:rFonts w:ascii="Roboto Light" w:hAnsi="Roboto Light"/>
          <w:sz w:val="20"/>
          <w:szCs w:val="20"/>
          <w:lang w:val="en-US"/>
        </w:rPr>
        <w:t xml:space="preserve">kā arī </w:t>
      </w:r>
      <w:r w:rsidR="00BA7441" w:rsidRPr="00BA7441">
        <w:rPr>
          <w:rFonts w:ascii="Roboto Light" w:hAnsi="Roboto Light"/>
          <w:sz w:val="20"/>
          <w:szCs w:val="20"/>
          <w:lang w:val="en-US"/>
        </w:rPr>
        <w:t>finanšu informācija</w:t>
      </w:r>
      <w:r w:rsidR="00BA7441">
        <w:rPr>
          <w:rFonts w:ascii="Roboto Light" w:hAnsi="Roboto Light"/>
          <w:sz w:val="20"/>
          <w:szCs w:val="20"/>
          <w:lang w:val="en-US"/>
        </w:rPr>
        <w:t xml:space="preserve">. Lūdzam skaidrot, kādas ziņas un ar kādu regularitāti būtu jāsniedz reģistrā. LTRK vērš uzmanību, ka LTRK ir lielākā uzņēmējus apvienojošā </w:t>
      </w:r>
      <w:r w:rsidR="00F23071">
        <w:rPr>
          <w:rFonts w:ascii="Roboto Light" w:hAnsi="Roboto Light"/>
          <w:sz w:val="20"/>
          <w:szCs w:val="20"/>
          <w:lang w:val="en-US"/>
        </w:rPr>
        <w:t xml:space="preserve">nevalstiskā </w:t>
      </w:r>
      <w:r w:rsidR="00BA7441">
        <w:rPr>
          <w:rFonts w:ascii="Roboto Light" w:hAnsi="Roboto Light"/>
          <w:sz w:val="20"/>
          <w:szCs w:val="20"/>
          <w:lang w:val="en-US"/>
        </w:rPr>
        <w:t>organizācija, kuras biedru sastāvs mainās teju katru dienu</w:t>
      </w:r>
      <w:r w:rsidR="00F23071">
        <w:rPr>
          <w:rFonts w:ascii="Roboto Light" w:hAnsi="Roboto Light"/>
          <w:sz w:val="20"/>
          <w:szCs w:val="20"/>
          <w:lang w:val="en-US"/>
        </w:rPr>
        <w:t>, tamdēļ regulāra informācijas sniegšana par biedru sastāvu radītu nesamērīgu adminstratīvo slogu</w:t>
      </w:r>
      <w:r w:rsidR="00D75E10">
        <w:rPr>
          <w:rFonts w:ascii="Roboto Light" w:hAnsi="Roboto Light"/>
          <w:sz w:val="20"/>
          <w:szCs w:val="20"/>
          <w:lang w:val="en-US"/>
        </w:rPr>
        <w:t>, kas nebūtu samērīgs ar sabiedrības iegūto labumu</w:t>
      </w:r>
      <w:r w:rsidR="00BA7441">
        <w:rPr>
          <w:rFonts w:ascii="Roboto Light" w:hAnsi="Roboto Light"/>
          <w:sz w:val="20"/>
          <w:szCs w:val="20"/>
          <w:lang w:val="en-US"/>
        </w:rPr>
        <w:t>.</w:t>
      </w:r>
    </w:p>
    <w:p w14:paraId="4731EF7F" w14:textId="55C3E502" w:rsidR="00BA7441" w:rsidRPr="0070776A" w:rsidRDefault="00ED3618" w:rsidP="00B67C26">
      <w:pPr>
        <w:pStyle w:val="ListParagraph"/>
        <w:numPr>
          <w:ilvl w:val="0"/>
          <w:numId w:val="2"/>
        </w:numPr>
        <w:spacing w:line="276" w:lineRule="auto"/>
        <w:jc w:val="both"/>
        <w:rPr>
          <w:rFonts w:ascii="Roboto Light" w:hAnsi="Roboto Light"/>
          <w:b/>
          <w:bCs/>
          <w:sz w:val="20"/>
          <w:szCs w:val="20"/>
          <w:lang w:val="en-US"/>
        </w:rPr>
      </w:pPr>
      <w:r>
        <w:rPr>
          <w:rFonts w:ascii="Roboto Light" w:hAnsi="Roboto Light"/>
          <w:b/>
          <w:bCs/>
          <w:sz w:val="20"/>
          <w:szCs w:val="20"/>
          <w:lang w:val="en-US"/>
        </w:rPr>
        <w:t xml:space="preserve">Informācijas ievadīšana par interešu pārstāvības aktivitātēm. </w:t>
      </w:r>
      <w:r w:rsidR="00710D4B">
        <w:rPr>
          <w:rFonts w:ascii="Roboto Light" w:hAnsi="Roboto Light"/>
          <w:sz w:val="20"/>
          <w:szCs w:val="20"/>
          <w:lang w:val="en-US"/>
        </w:rPr>
        <w:t xml:space="preserve">LTRK ieskatā Apkopojums nesniedz atbildi uz konceptuāli nozīmīgu jautājumu par amatpersonu un interešu pārstāvju </w:t>
      </w:r>
      <w:r w:rsidR="002C5297">
        <w:rPr>
          <w:rFonts w:ascii="Roboto Light" w:hAnsi="Roboto Light"/>
          <w:sz w:val="20"/>
          <w:szCs w:val="20"/>
          <w:lang w:val="en-US"/>
        </w:rPr>
        <w:t xml:space="preserve">pienākumu sadalījumu informācijas ievadē. </w:t>
      </w:r>
      <w:r w:rsidR="007F479F">
        <w:rPr>
          <w:rFonts w:ascii="Roboto Light" w:hAnsi="Roboto Light"/>
          <w:sz w:val="20"/>
          <w:szCs w:val="20"/>
          <w:lang w:val="en-US"/>
        </w:rPr>
        <w:t xml:space="preserve">Vēršam uzmanību, ka pienākums obligāti ievadīt informāciju radīs administratīvo slogu abām pusēm, pie tam gadījumā, ja ievadāmās informācijas apjoms būtu gana plašs, ir saskatāms risks kopējai </w:t>
      </w:r>
      <w:r w:rsidR="00B11337">
        <w:rPr>
          <w:rFonts w:ascii="Roboto Light" w:hAnsi="Roboto Light"/>
          <w:sz w:val="20"/>
          <w:szCs w:val="20"/>
          <w:lang w:val="en-US"/>
        </w:rPr>
        <w:t xml:space="preserve">dažādu ieinteresēto pušu </w:t>
      </w:r>
      <w:r w:rsidR="007F479F">
        <w:rPr>
          <w:rFonts w:ascii="Roboto Light" w:hAnsi="Roboto Light"/>
          <w:sz w:val="20"/>
          <w:szCs w:val="20"/>
          <w:lang w:val="en-US"/>
        </w:rPr>
        <w:t xml:space="preserve">iesaistes mazināšanai dažādu politikas iniciatīvu izstrādē. </w:t>
      </w:r>
      <w:r w:rsidR="008D6BBD">
        <w:rPr>
          <w:rFonts w:ascii="Roboto Light" w:hAnsi="Roboto Light"/>
          <w:sz w:val="20"/>
          <w:szCs w:val="20"/>
          <w:lang w:val="en-US"/>
        </w:rPr>
        <w:t xml:space="preserve">Vēršam uzmanību, ka nereti tieši valsts pārvaldes iestādes aicina dažādas nevalstiskās organizācijas iesaistīties normatīvā regulējuma izstrādē, kas sekmē savlaicīgu iespējamo pretrunu novēršanu. Gadījumā, ja kādai no pusēm tiktu uzlikts pienākums detalizētas informācijas publicēšanai šādos gadījumos, </w:t>
      </w:r>
      <w:r w:rsidR="00DA2250">
        <w:rPr>
          <w:rFonts w:ascii="Roboto Light" w:hAnsi="Roboto Light"/>
          <w:sz w:val="20"/>
          <w:szCs w:val="20"/>
          <w:lang w:val="en-US"/>
        </w:rPr>
        <w:t xml:space="preserve">LTRK saredz risku kopējai ieinteresēto pušu iesaistei politikas veidošanā, ko sekmētu jaunieviestie administratīvie šķēršļi. </w:t>
      </w:r>
    </w:p>
    <w:p w14:paraId="7B47C566" w14:textId="0632830B" w:rsidR="005A7FDD" w:rsidRPr="005A7FDD" w:rsidRDefault="0065489E" w:rsidP="00BF0941">
      <w:pPr>
        <w:pStyle w:val="ListParagraph"/>
        <w:numPr>
          <w:ilvl w:val="0"/>
          <w:numId w:val="2"/>
        </w:numPr>
        <w:spacing w:line="276" w:lineRule="auto"/>
        <w:jc w:val="both"/>
        <w:rPr>
          <w:rFonts w:ascii="Roboto Light" w:hAnsi="Roboto Light"/>
          <w:b/>
          <w:bCs/>
          <w:sz w:val="20"/>
          <w:szCs w:val="20"/>
          <w:lang w:val="en-US"/>
        </w:rPr>
      </w:pPr>
      <w:r>
        <w:rPr>
          <w:rFonts w:ascii="Roboto Light" w:hAnsi="Roboto Light"/>
          <w:b/>
          <w:bCs/>
          <w:sz w:val="20"/>
          <w:szCs w:val="20"/>
          <w:lang w:val="en-US"/>
        </w:rPr>
        <w:t>Pilnvērtīga politikas veidošanā iesaistīto v</w:t>
      </w:r>
      <w:r w:rsidR="0050507A">
        <w:rPr>
          <w:rFonts w:ascii="Roboto Light" w:hAnsi="Roboto Light"/>
          <w:b/>
          <w:bCs/>
          <w:sz w:val="20"/>
          <w:szCs w:val="20"/>
          <w:lang w:val="en-US"/>
        </w:rPr>
        <w:t xml:space="preserve">alsts pārvaldes pārstāvju apzināšana. </w:t>
      </w:r>
      <w:r w:rsidR="00EE764E" w:rsidRPr="00EE764E">
        <w:rPr>
          <w:rFonts w:ascii="Roboto Light" w:hAnsi="Roboto Light"/>
          <w:sz w:val="20"/>
          <w:szCs w:val="20"/>
          <w:lang w:val="en-US"/>
        </w:rPr>
        <w:t xml:space="preserve">Apkopojuma </w:t>
      </w:r>
      <w:r w:rsidR="00EE764E">
        <w:rPr>
          <w:rFonts w:ascii="Roboto Light" w:hAnsi="Roboto Light"/>
          <w:sz w:val="20"/>
          <w:szCs w:val="20"/>
          <w:lang w:val="en-US"/>
        </w:rPr>
        <w:t xml:space="preserve">4. </w:t>
      </w:r>
      <w:r w:rsidR="00EE764E" w:rsidRPr="00EE764E">
        <w:rPr>
          <w:rFonts w:ascii="Roboto Light" w:hAnsi="Roboto Light"/>
          <w:sz w:val="20"/>
          <w:szCs w:val="20"/>
          <w:lang w:val="en-US"/>
        </w:rPr>
        <w:t xml:space="preserve">sadaļā </w:t>
      </w:r>
      <w:r w:rsidR="00EE764E">
        <w:rPr>
          <w:rFonts w:ascii="Roboto Light" w:hAnsi="Roboto Light"/>
          <w:sz w:val="20"/>
          <w:szCs w:val="20"/>
          <w:lang w:val="en-US"/>
        </w:rPr>
        <w:t>“Likuma tvērums lēmumu pieņemšanas līmenī” norādīts, ka</w:t>
      </w:r>
      <w:r w:rsidR="00BF0941">
        <w:rPr>
          <w:rFonts w:ascii="Roboto Light" w:hAnsi="Roboto Light"/>
          <w:sz w:val="20"/>
          <w:szCs w:val="20"/>
          <w:lang w:val="en-US"/>
        </w:rPr>
        <w:t xml:space="preserve"> likuma tvērumā atrastos</w:t>
      </w:r>
      <w:r w:rsidR="00EE764E">
        <w:rPr>
          <w:rFonts w:ascii="Roboto Light" w:hAnsi="Roboto Light"/>
          <w:sz w:val="20"/>
          <w:szCs w:val="20"/>
          <w:lang w:val="en-US"/>
        </w:rPr>
        <w:t xml:space="preserve"> “</w:t>
      </w:r>
      <w:r w:rsidR="00EE764E" w:rsidRPr="00EE764E">
        <w:rPr>
          <w:rFonts w:ascii="Roboto Light" w:hAnsi="Roboto Light"/>
          <w:sz w:val="20"/>
          <w:szCs w:val="20"/>
          <w:lang w:val="en-US"/>
        </w:rPr>
        <w:t>Saeima, valdība, pašvaldības, neatkarīgās valsts iestādes, kas pieņem ārējos normatīvos aktus, kā arī valsts augstākās amatpersonas, kuru kalendāriem par tikšanos ar interešu pārstāvjiem jābūt publiski pieejamiem</w:t>
      </w:r>
      <w:r w:rsidR="00EE764E">
        <w:rPr>
          <w:rFonts w:ascii="Roboto Light" w:hAnsi="Roboto Light"/>
          <w:sz w:val="20"/>
          <w:szCs w:val="20"/>
          <w:lang w:val="en-US"/>
        </w:rPr>
        <w:t>”</w:t>
      </w:r>
      <w:r w:rsidR="00BF0941">
        <w:rPr>
          <w:rFonts w:ascii="Roboto Light" w:hAnsi="Roboto Light"/>
          <w:sz w:val="20"/>
          <w:szCs w:val="20"/>
          <w:lang w:val="en-US"/>
        </w:rPr>
        <w:t xml:space="preserve">. Vēršam uzmanību, ka nereti tieši tikšanās ar dažādu valsts iestāžu zemāka līmeņa darbiniekiem – juristiem, referentiem, nodaļu vadītājiem – </w:t>
      </w:r>
      <w:r w:rsidR="005A7FDD">
        <w:rPr>
          <w:rFonts w:ascii="Roboto Light" w:hAnsi="Roboto Light"/>
          <w:sz w:val="20"/>
          <w:szCs w:val="20"/>
          <w:lang w:val="en-US"/>
        </w:rPr>
        <w:t>rezultātā tiek izstrādāti iespējamie normatīvo aktu grozījumi. Vēršam uzmanību, ka tikvien augstāko valsts amatpersonu vadīšanās pēc caurspīdīguma principiem nenodrošinās ar jauno regulējumu iecerēto mērķu sasniegšanu.</w:t>
      </w:r>
    </w:p>
    <w:p w14:paraId="05F69454" w14:textId="322D1DAF" w:rsidR="00DB69A0" w:rsidRPr="002E3163" w:rsidRDefault="002842A2" w:rsidP="00BF0941">
      <w:pPr>
        <w:pStyle w:val="ListParagraph"/>
        <w:numPr>
          <w:ilvl w:val="0"/>
          <w:numId w:val="2"/>
        </w:numPr>
        <w:spacing w:line="276" w:lineRule="auto"/>
        <w:jc w:val="both"/>
        <w:rPr>
          <w:rFonts w:ascii="Roboto Light" w:hAnsi="Roboto Light"/>
          <w:b/>
          <w:bCs/>
          <w:sz w:val="20"/>
          <w:szCs w:val="20"/>
          <w:lang w:val="en-US"/>
        </w:rPr>
      </w:pPr>
      <w:r>
        <w:rPr>
          <w:rFonts w:ascii="Roboto Light" w:hAnsi="Roboto Light"/>
          <w:b/>
          <w:bCs/>
          <w:sz w:val="20"/>
          <w:szCs w:val="20"/>
          <w:lang w:val="en-US"/>
        </w:rPr>
        <w:t>Ar regulējum</w:t>
      </w:r>
      <w:r w:rsidR="009C12CA">
        <w:rPr>
          <w:rFonts w:ascii="Roboto Light" w:hAnsi="Roboto Light"/>
          <w:b/>
          <w:bCs/>
          <w:sz w:val="20"/>
          <w:szCs w:val="20"/>
          <w:lang w:val="en-US"/>
        </w:rPr>
        <w:t>a izstrādi</w:t>
      </w:r>
      <w:r>
        <w:rPr>
          <w:rFonts w:ascii="Roboto Light" w:hAnsi="Roboto Light"/>
          <w:b/>
          <w:bCs/>
          <w:sz w:val="20"/>
          <w:szCs w:val="20"/>
          <w:lang w:val="en-US"/>
        </w:rPr>
        <w:t xml:space="preserve"> netieši saistīte jautājumi. </w:t>
      </w:r>
      <w:r w:rsidR="009C12CA">
        <w:rPr>
          <w:rFonts w:ascii="Roboto Light" w:hAnsi="Roboto Light"/>
          <w:sz w:val="20"/>
          <w:szCs w:val="20"/>
          <w:lang w:val="en-US"/>
        </w:rPr>
        <w:t>Ņemot vērā, ka likumdošanas kvalitātes</w:t>
      </w:r>
      <w:r w:rsidR="000E6906">
        <w:rPr>
          <w:rFonts w:ascii="Roboto Light" w:hAnsi="Roboto Light"/>
          <w:sz w:val="20"/>
          <w:szCs w:val="20"/>
          <w:lang w:val="en-US"/>
        </w:rPr>
        <w:t xml:space="preserve"> un likumdošanas procesa caurspīdīguma</w:t>
      </w:r>
      <w:r w:rsidR="009C12CA">
        <w:rPr>
          <w:rFonts w:ascii="Roboto Light" w:hAnsi="Roboto Light"/>
          <w:sz w:val="20"/>
          <w:szCs w:val="20"/>
          <w:lang w:val="en-US"/>
        </w:rPr>
        <w:t xml:space="preserve"> sekmēšanai jau iepriekš identificēti vairāki Apkopojum</w:t>
      </w:r>
      <w:r w:rsidR="000E6906">
        <w:rPr>
          <w:rFonts w:ascii="Roboto Light" w:hAnsi="Roboto Light"/>
          <w:sz w:val="20"/>
          <w:szCs w:val="20"/>
          <w:lang w:val="en-US"/>
        </w:rPr>
        <w:t xml:space="preserve">ā neminēti jautājumi, rosinām diskusiju procesā pārrunāt arī nepieciešamību risināt konceptuāli neatrisinātus jautājumus – iespējas Saeimā papildināt likumprojekta anotāciju, konceptuāli mainot likumprojekta tekstu, atteikšanos no iespējas sniegt konceptuālus priekšlikumus uz trešo lasījumu, pienākumu sniegt izvērstu pamatojumu (ietekmes novērtējumu) deputātu sniegtiem priekšlikumiem, kā arī citus ar likumdošanas procesa kvalitāti saistītus jautājumus. </w:t>
      </w:r>
    </w:p>
    <w:p w14:paraId="2078E4D9" w14:textId="19CDF3D6" w:rsidR="00222460" w:rsidRDefault="00222460" w:rsidP="00222460">
      <w:pPr>
        <w:spacing w:line="276" w:lineRule="auto"/>
        <w:ind w:firstLine="720"/>
        <w:jc w:val="both"/>
        <w:rPr>
          <w:rFonts w:ascii="Roboto Light" w:eastAsia="Times New Roman" w:hAnsi="Roboto Light" w:cstheme="minorHAnsi"/>
          <w:sz w:val="20"/>
          <w:szCs w:val="20"/>
        </w:rPr>
      </w:pPr>
      <w:r w:rsidRPr="00222460">
        <w:rPr>
          <w:rFonts w:ascii="Roboto Light" w:hAnsi="Roboto Light"/>
          <w:sz w:val="20"/>
          <w:szCs w:val="20"/>
          <w:lang w:val="en-US"/>
        </w:rPr>
        <w:t xml:space="preserve">Noslēgumā vēlamies uzsvērt, ka </w:t>
      </w:r>
      <w:r>
        <w:rPr>
          <w:rFonts w:ascii="Roboto Light" w:hAnsi="Roboto Light"/>
          <w:sz w:val="20"/>
          <w:szCs w:val="20"/>
          <w:lang w:val="en-US"/>
        </w:rPr>
        <w:t>caurspīdīguma, atklātības un labas pārvaldības principu iedzīvināšanai ne vienmēr izšķiroši svarīga ir jauna tiesiskā regulējuma radīšana. Vēršam uzmanību, ka pilnvērtīga dažādu iespējamo mehānismu – līdzšinējā</w:t>
      </w:r>
      <w:r w:rsidR="000E6570">
        <w:rPr>
          <w:rFonts w:ascii="Roboto Light" w:hAnsi="Roboto Light"/>
          <w:sz w:val="20"/>
          <w:szCs w:val="20"/>
          <w:lang w:val="en-US"/>
        </w:rPr>
        <w:t xml:space="preserve"> līdzdalības</w:t>
      </w:r>
      <w:r>
        <w:rPr>
          <w:rFonts w:ascii="Roboto Light" w:hAnsi="Roboto Light"/>
          <w:sz w:val="20"/>
          <w:szCs w:val="20"/>
          <w:lang w:val="en-US"/>
        </w:rPr>
        <w:t xml:space="preserve"> regulējuma pilnveidošana, valsts pārvaldes iestāžu darbības prinicpu pilnveidošana un citas iniciatīvas – apzināšana </w:t>
      </w:r>
      <w:r w:rsidR="00583F1E">
        <w:rPr>
          <w:rFonts w:ascii="Roboto Light" w:hAnsi="Roboto Light"/>
          <w:sz w:val="20"/>
          <w:szCs w:val="20"/>
          <w:lang w:val="en-US"/>
        </w:rPr>
        <w:t xml:space="preserve">un </w:t>
      </w:r>
      <w:r w:rsidR="00D45E55">
        <w:rPr>
          <w:rFonts w:ascii="Roboto Light" w:hAnsi="Roboto Light"/>
          <w:sz w:val="20"/>
          <w:szCs w:val="20"/>
          <w:lang w:val="en-US"/>
        </w:rPr>
        <w:t xml:space="preserve">pilnvērtīga pielietošana </w:t>
      </w:r>
      <w:r>
        <w:rPr>
          <w:rFonts w:ascii="Roboto Light" w:hAnsi="Roboto Light"/>
          <w:sz w:val="20"/>
          <w:szCs w:val="20"/>
          <w:lang w:val="en-US"/>
        </w:rPr>
        <w:t xml:space="preserve">dotu iespēju vismaz daļēji iecerētos mērķus sasniegt ar mazāku </w:t>
      </w:r>
      <w:r w:rsidR="00F36555">
        <w:rPr>
          <w:rFonts w:ascii="Roboto Light" w:hAnsi="Roboto Light"/>
          <w:sz w:val="20"/>
          <w:szCs w:val="20"/>
          <w:lang w:val="en-US"/>
        </w:rPr>
        <w:t xml:space="preserve">administratīvo </w:t>
      </w:r>
      <w:r>
        <w:rPr>
          <w:rFonts w:ascii="Roboto Light" w:hAnsi="Roboto Light"/>
          <w:sz w:val="20"/>
          <w:szCs w:val="20"/>
          <w:lang w:val="en-US"/>
        </w:rPr>
        <w:t>slogu radošiem mehānismiem</w:t>
      </w:r>
      <w:r w:rsidR="009E5A5B">
        <w:rPr>
          <w:rFonts w:ascii="Roboto Light" w:hAnsi="Roboto Light"/>
          <w:sz w:val="20"/>
          <w:szCs w:val="20"/>
          <w:lang w:val="en-US"/>
        </w:rPr>
        <w:t>.</w:t>
      </w:r>
    </w:p>
    <w:p w14:paraId="101A1613" w14:textId="77777777" w:rsidR="00222460" w:rsidRDefault="00222460" w:rsidP="00DB69A0">
      <w:pPr>
        <w:pStyle w:val="Default"/>
        <w:spacing w:line="276" w:lineRule="auto"/>
        <w:jc w:val="both"/>
        <w:rPr>
          <w:rFonts w:ascii="Roboto Light" w:eastAsia="Times New Roman" w:hAnsi="Roboto Light" w:cstheme="minorHAnsi"/>
          <w:sz w:val="20"/>
          <w:szCs w:val="20"/>
          <w:lang w:val="lv-LV"/>
        </w:rPr>
      </w:pPr>
    </w:p>
    <w:p w14:paraId="631DCD1F" w14:textId="58F02722" w:rsidR="00DB69A0" w:rsidRPr="00222460" w:rsidRDefault="00DB69A0" w:rsidP="00DB69A0">
      <w:pPr>
        <w:pStyle w:val="Default"/>
        <w:spacing w:line="276" w:lineRule="auto"/>
        <w:jc w:val="both"/>
        <w:rPr>
          <w:rFonts w:ascii="Roboto Light" w:eastAsia="Times New Roman" w:hAnsi="Roboto Light" w:cstheme="minorHAnsi"/>
          <w:sz w:val="20"/>
          <w:szCs w:val="20"/>
          <w:lang w:val="lv-LV"/>
        </w:rPr>
      </w:pPr>
      <w:r w:rsidRPr="00222460">
        <w:rPr>
          <w:rFonts w:ascii="Roboto Light" w:eastAsia="Times New Roman" w:hAnsi="Roboto Light" w:cstheme="minorHAnsi"/>
          <w:sz w:val="20"/>
          <w:szCs w:val="20"/>
          <w:lang w:val="lv-LV"/>
        </w:rPr>
        <w:t>Ar cieņu,</w:t>
      </w:r>
      <w:r w:rsidRPr="00222460">
        <w:rPr>
          <w:rFonts w:ascii="Roboto Light" w:eastAsia="Times New Roman" w:hAnsi="Roboto Light" w:cstheme="minorHAnsi"/>
          <w:sz w:val="20"/>
          <w:szCs w:val="20"/>
          <w:lang w:val="lv-LV"/>
        </w:rPr>
        <w:tab/>
      </w:r>
    </w:p>
    <w:p w14:paraId="0953012C" w14:textId="77777777" w:rsidR="00DB69A0" w:rsidRPr="00222460" w:rsidRDefault="00DB69A0" w:rsidP="00DB69A0">
      <w:pPr>
        <w:pStyle w:val="Default"/>
        <w:tabs>
          <w:tab w:val="left" w:pos="8505"/>
        </w:tabs>
        <w:spacing w:line="276" w:lineRule="auto"/>
        <w:jc w:val="both"/>
        <w:rPr>
          <w:rFonts w:ascii="Roboto Light" w:eastAsia="Times New Roman" w:hAnsi="Roboto Light" w:cstheme="minorHAnsi"/>
          <w:sz w:val="20"/>
          <w:szCs w:val="20"/>
          <w:lang w:val="lv-LV"/>
        </w:rPr>
      </w:pPr>
      <w:r w:rsidRPr="00222460">
        <w:rPr>
          <w:rFonts w:ascii="Roboto Light" w:eastAsia="Times New Roman" w:hAnsi="Roboto Light" w:cstheme="minorHAnsi"/>
          <w:sz w:val="20"/>
          <w:szCs w:val="20"/>
          <w:lang w:val="lv-LV"/>
        </w:rPr>
        <w:t xml:space="preserve">Valdes priekšsēdētājs </w:t>
      </w:r>
      <w:r w:rsidRPr="00222460">
        <w:rPr>
          <w:rFonts w:ascii="Roboto Light" w:eastAsia="Times New Roman" w:hAnsi="Roboto Light" w:cstheme="minorHAnsi"/>
          <w:sz w:val="20"/>
          <w:szCs w:val="20"/>
          <w:lang w:val="lv-LV"/>
        </w:rPr>
        <w:tab/>
        <w:t>Jānis Endziņš</w:t>
      </w:r>
    </w:p>
    <w:p w14:paraId="50609F78" w14:textId="77777777" w:rsidR="00DB69A0" w:rsidRPr="00222460" w:rsidRDefault="00DB69A0" w:rsidP="00DB69A0">
      <w:pPr>
        <w:pStyle w:val="Default"/>
        <w:spacing w:line="276" w:lineRule="auto"/>
        <w:jc w:val="both"/>
        <w:rPr>
          <w:rFonts w:ascii="Roboto Light" w:eastAsia="Times New Roman" w:hAnsi="Roboto Light" w:cstheme="minorHAnsi"/>
          <w:sz w:val="20"/>
          <w:szCs w:val="20"/>
          <w:lang w:val="lv-LV"/>
        </w:rPr>
      </w:pPr>
    </w:p>
    <w:p w14:paraId="25D2980F" w14:textId="77777777" w:rsidR="00DB69A0" w:rsidRPr="00222460" w:rsidRDefault="00DB69A0" w:rsidP="00DB69A0">
      <w:pPr>
        <w:pStyle w:val="Default"/>
        <w:spacing w:line="276" w:lineRule="auto"/>
        <w:jc w:val="center"/>
        <w:rPr>
          <w:rFonts w:ascii="Roboto Light" w:eastAsia="Times New Roman" w:hAnsi="Roboto Light" w:cstheme="minorHAnsi"/>
          <w:b/>
          <w:bCs/>
          <w:sz w:val="20"/>
          <w:szCs w:val="20"/>
          <w:lang w:val="lv-LV"/>
        </w:rPr>
      </w:pPr>
      <w:r w:rsidRPr="00222460">
        <w:rPr>
          <w:rFonts w:ascii="Roboto Light" w:eastAsia="Times New Roman" w:hAnsi="Roboto Light" w:cstheme="minorHAnsi"/>
          <w:b/>
          <w:bCs/>
          <w:sz w:val="20"/>
          <w:szCs w:val="20"/>
          <w:lang w:val="lv-LV"/>
        </w:rPr>
        <w:t>ŠIS DOKUMENTS IR PARAKSTĪTS ELEKTRONISKI AR</w:t>
      </w:r>
    </w:p>
    <w:p w14:paraId="29BD2D72" w14:textId="48509559" w:rsidR="0070776A" w:rsidRPr="00904DE7" w:rsidRDefault="00DB69A0" w:rsidP="00DB69A0">
      <w:pPr>
        <w:spacing w:line="276" w:lineRule="auto"/>
        <w:jc w:val="center"/>
        <w:rPr>
          <w:rFonts w:ascii="Roboto Light" w:hAnsi="Roboto Light"/>
          <w:b/>
          <w:bCs/>
          <w:sz w:val="20"/>
          <w:szCs w:val="20"/>
          <w:lang w:val="de-DE"/>
        </w:rPr>
      </w:pPr>
      <w:r w:rsidRPr="00222460">
        <w:rPr>
          <w:rFonts w:ascii="Roboto Light" w:eastAsia="Times New Roman" w:hAnsi="Roboto Light" w:cstheme="minorHAnsi"/>
          <w:b/>
          <w:bCs/>
          <w:sz w:val="20"/>
          <w:szCs w:val="20"/>
        </w:rPr>
        <w:t>DROŠU ELEKTRONISKO PARAKSTU UN SATUR LAIKA ZĪMOGU</w:t>
      </w:r>
    </w:p>
    <w:sectPr w:rsidR="0070776A" w:rsidRPr="00904DE7" w:rsidSect="0028786E">
      <w:footerReference w:type="default" r:id="rId11"/>
      <w:pgSz w:w="11906" w:h="16838"/>
      <w:pgMar w:top="1134" w:right="87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DE9B" w14:textId="77777777" w:rsidR="00442089" w:rsidRDefault="00442089" w:rsidP="00DA2BCC">
      <w:pPr>
        <w:spacing w:after="0" w:line="240" w:lineRule="auto"/>
      </w:pPr>
      <w:r>
        <w:separator/>
      </w:r>
    </w:p>
  </w:endnote>
  <w:endnote w:type="continuationSeparator" w:id="0">
    <w:p w14:paraId="5EE33389" w14:textId="77777777" w:rsidR="00442089" w:rsidRDefault="00442089" w:rsidP="00DA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oboto Light">
    <w:altName w:val="Times New Roman"/>
    <w:charset w:val="00"/>
    <w:family w:val="auto"/>
    <w:pitch w:val="variable"/>
    <w:sig w:usb0="00000001" w:usb1="5000205B" w:usb2="0000002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oboto Light" w:hAnsi="Roboto Light"/>
        <w:sz w:val="20"/>
        <w:szCs w:val="20"/>
      </w:rPr>
      <w:id w:val="-1730213173"/>
      <w:docPartObj>
        <w:docPartGallery w:val="Page Numbers (Bottom of Page)"/>
        <w:docPartUnique/>
      </w:docPartObj>
    </w:sdtPr>
    <w:sdtEndPr/>
    <w:sdtContent>
      <w:p w14:paraId="22C62BB5" w14:textId="4AFB688F" w:rsidR="0028786E" w:rsidRPr="0028786E" w:rsidRDefault="0028786E">
        <w:pPr>
          <w:pStyle w:val="Footer"/>
          <w:jc w:val="right"/>
          <w:rPr>
            <w:rFonts w:ascii="Roboto Light" w:hAnsi="Roboto Light"/>
            <w:sz w:val="20"/>
            <w:szCs w:val="20"/>
          </w:rPr>
        </w:pPr>
        <w:r w:rsidRPr="0028786E">
          <w:rPr>
            <w:rFonts w:ascii="Roboto Light" w:hAnsi="Roboto Light"/>
            <w:sz w:val="20"/>
            <w:szCs w:val="20"/>
          </w:rPr>
          <w:fldChar w:fldCharType="begin"/>
        </w:r>
        <w:r w:rsidRPr="0028786E">
          <w:rPr>
            <w:rFonts w:ascii="Roboto Light" w:hAnsi="Roboto Light"/>
            <w:sz w:val="20"/>
            <w:szCs w:val="20"/>
          </w:rPr>
          <w:instrText>PAGE   \* MERGEFORMAT</w:instrText>
        </w:r>
        <w:r w:rsidRPr="0028786E">
          <w:rPr>
            <w:rFonts w:ascii="Roboto Light" w:hAnsi="Roboto Light"/>
            <w:sz w:val="20"/>
            <w:szCs w:val="20"/>
          </w:rPr>
          <w:fldChar w:fldCharType="separate"/>
        </w:r>
        <w:r w:rsidR="00904DE7">
          <w:rPr>
            <w:rFonts w:ascii="Roboto Light" w:hAnsi="Roboto Light"/>
            <w:sz w:val="20"/>
            <w:szCs w:val="20"/>
          </w:rPr>
          <w:t>2</w:t>
        </w:r>
        <w:r w:rsidRPr="0028786E">
          <w:rPr>
            <w:rFonts w:ascii="Roboto Light" w:hAnsi="Roboto Light"/>
            <w:sz w:val="20"/>
            <w:szCs w:val="20"/>
          </w:rPr>
          <w:fldChar w:fldCharType="end"/>
        </w:r>
      </w:p>
    </w:sdtContent>
  </w:sdt>
  <w:p w14:paraId="573A804B" w14:textId="77777777" w:rsidR="0028786E" w:rsidRPr="0028786E" w:rsidRDefault="0028786E">
    <w:pPr>
      <w:pStyle w:val="Footer"/>
      <w:rPr>
        <w:rFonts w:ascii="Roboto Light" w:hAnsi="Robot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B3F1E" w14:textId="77777777" w:rsidR="00442089" w:rsidRDefault="00442089" w:rsidP="00DA2BCC">
      <w:pPr>
        <w:spacing w:after="0" w:line="240" w:lineRule="auto"/>
      </w:pPr>
      <w:r>
        <w:separator/>
      </w:r>
    </w:p>
  </w:footnote>
  <w:footnote w:type="continuationSeparator" w:id="0">
    <w:p w14:paraId="6A02F5E6" w14:textId="77777777" w:rsidR="00442089" w:rsidRDefault="00442089" w:rsidP="00DA2BCC">
      <w:pPr>
        <w:spacing w:after="0" w:line="240" w:lineRule="auto"/>
      </w:pPr>
      <w:r>
        <w:continuationSeparator/>
      </w:r>
    </w:p>
  </w:footnote>
  <w:footnote w:id="1">
    <w:p w14:paraId="3DBADB1B" w14:textId="57E0433B" w:rsidR="00DA2BCC" w:rsidRPr="00904DE7" w:rsidRDefault="00DA2BCC">
      <w:pPr>
        <w:pStyle w:val="FootnoteText"/>
        <w:rPr>
          <w:rFonts w:ascii="Roboto Light" w:hAnsi="Roboto Light"/>
          <w:sz w:val="16"/>
          <w:szCs w:val="16"/>
        </w:rPr>
      </w:pPr>
      <w:r w:rsidRPr="00DA2BCC">
        <w:rPr>
          <w:rStyle w:val="FootnoteReference"/>
          <w:rFonts w:ascii="Roboto Light" w:hAnsi="Roboto Light"/>
          <w:sz w:val="16"/>
          <w:szCs w:val="16"/>
        </w:rPr>
        <w:footnoteRef/>
      </w:r>
      <w:r w:rsidRPr="00DA2BCC">
        <w:rPr>
          <w:rFonts w:ascii="Roboto Light" w:hAnsi="Roboto Light"/>
          <w:sz w:val="16"/>
          <w:szCs w:val="16"/>
        </w:rPr>
        <w:t xml:space="preserve"> Interešu pārstāvības regulējuma izstrādes publiskā apspriešana. Saeimas Aizsardzības, iekšlietu un korupcijas novēršanas komisija. Pieejams: </w:t>
      </w:r>
      <w:hyperlink r:id="rId1" w:history="1">
        <w:r w:rsidRPr="00DA2BCC">
          <w:rPr>
            <w:rStyle w:val="Hyperlink"/>
            <w:rFonts w:ascii="Roboto Light" w:hAnsi="Roboto Light"/>
            <w:sz w:val="16"/>
            <w:szCs w:val="16"/>
          </w:rPr>
          <w:t>https://aizsardziba.saeima.lv/raksti/1593-intere%C5%A1u-p%C4%81rst%C4%81v%C4%ABbas-regul%C4%93juma-izstr%C4%81des-publisk%C4%81-apsprie%C5%A1ana-5</w:t>
        </w:r>
      </w:hyperlink>
      <w:r w:rsidRPr="00DA2BCC">
        <w:rPr>
          <w:rFonts w:ascii="Roboto Light" w:hAnsi="Roboto Light"/>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96EB1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592CA2"/>
    <w:multiLevelType w:val="hybridMultilevel"/>
    <w:tmpl w:val="9492118E"/>
    <w:lvl w:ilvl="0" w:tplc="EA22C88C">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CF25183"/>
    <w:multiLevelType w:val="hybridMultilevel"/>
    <w:tmpl w:val="220C6A8C"/>
    <w:lvl w:ilvl="0" w:tplc="0C8A8D30">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9F"/>
    <w:rsid w:val="000236BD"/>
    <w:rsid w:val="000A5B1A"/>
    <w:rsid w:val="000E347A"/>
    <w:rsid w:val="000E6570"/>
    <w:rsid w:val="000E6906"/>
    <w:rsid w:val="00110985"/>
    <w:rsid w:val="0012763E"/>
    <w:rsid w:val="001617EA"/>
    <w:rsid w:val="001D582B"/>
    <w:rsid w:val="00222460"/>
    <w:rsid w:val="00274454"/>
    <w:rsid w:val="002842A2"/>
    <w:rsid w:val="0028786E"/>
    <w:rsid w:val="002C5297"/>
    <w:rsid w:val="002E3163"/>
    <w:rsid w:val="003128D6"/>
    <w:rsid w:val="003D0846"/>
    <w:rsid w:val="00403E13"/>
    <w:rsid w:val="00442089"/>
    <w:rsid w:val="00477697"/>
    <w:rsid w:val="005030AE"/>
    <w:rsid w:val="0050507A"/>
    <w:rsid w:val="00543106"/>
    <w:rsid w:val="00583F1E"/>
    <w:rsid w:val="005A7FDD"/>
    <w:rsid w:val="005F55D2"/>
    <w:rsid w:val="0065489E"/>
    <w:rsid w:val="006C4BFB"/>
    <w:rsid w:val="006E32C5"/>
    <w:rsid w:val="0070776A"/>
    <w:rsid w:val="00710D4B"/>
    <w:rsid w:val="00745F96"/>
    <w:rsid w:val="007832D0"/>
    <w:rsid w:val="007C4927"/>
    <w:rsid w:val="007E3B19"/>
    <w:rsid w:val="007E6875"/>
    <w:rsid w:val="007F12A3"/>
    <w:rsid w:val="007F479F"/>
    <w:rsid w:val="00801877"/>
    <w:rsid w:val="008416FE"/>
    <w:rsid w:val="008425EC"/>
    <w:rsid w:val="008D6BBD"/>
    <w:rsid w:val="008F466E"/>
    <w:rsid w:val="00904DE7"/>
    <w:rsid w:val="00972FD0"/>
    <w:rsid w:val="009C12CA"/>
    <w:rsid w:val="009E5A5B"/>
    <w:rsid w:val="00A0170A"/>
    <w:rsid w:val="00A2749F"/>
    <w:rsid w:val="00A5788D"/>
    <w:rsid w:val="00A63AC0"/>
    <w:rsid w:val="00AB6B7D"/>
    <w:rsid w:val="00AD71FB"/>
    <w:rsid w:val="00B11337"/>
    <w:rsid w:val="00B2167B"/>
    <w:rsid w:val="00B34C23"/>
    <w:rsid w:val="00B67C26"/>
    <w:rsid w:val="00B75EEB"/>
    <w:rsid w:val="00BA7441"/>
    <w:rsid w:val="00BE09C0"/>
    <w:rsid w:val="00BF0941"/>
    <w:rsid w:val="00BF5FE5"/>
    <w:rsid w:val="00C749ED"/>
    <w:rsid w:val="00C95B43"/>
    <w:rsid w:val="00C973D5"/>
    <w:rsid w:val="00CA2C44"/>
    <w:rsid w:val="00CA6077"/>
    <w:rsid w:val="00CC47F0"/>
    <w:rsid w:val="00D21CC5"/>
    <w:rsid w:val="00D36121"/>
    <w:rsid w:val="00D45E55"/>
    <w:rsid w:val="00D62150"/>
    <w:rsid w:val="00D63433"/>
    <w:rsid w:val="00D75E10"/>
    <w:rsid w:val="00DA2250"/>
    <w:rsid w:val="00DA2BCC"/>
    <w:rsid w:val="00DB04A9"/>
    <w:rsid w:val="00DB69A0"/>
    <w:rsid w:val="00E72A9F"/>
    <w:rsid w:val="00E772F5"/>
    <w:rsid w:val="00EA3801"/>
    <w:rsid w:val="00ED3618"/>
    <w:rsid w:val="00EE764E"/>
    <w:rsid w:val="00F03ACE"/>
    <w:rsid w:val="00F23071"/>
    <w:rsid w:val="00F36555"/>
    <w:rsid w:val="00F420B6"/>
    <w:rsid w:val="00F47D11"/>
    <w:rsid w:val="00F73374"/>
    <w:rsid w:val="00F96255"/>
    <w:rsid w:val="00FB67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D3EF"/>
  <w15:chartTrackingRefBased/>
  <w15:docId w15:val="{C5E04B7D-C59F-42E8-B9B7-B5FC50D1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49F"/>
    <w:pPr>
      <w:ind w:left="720"/>
      <w:contextualSpacing/>
    </w:pPr>
  </w:style>
  <w:style w:type="character" w:styleId="Hyperlink">
    <w:name w:val="Hyperlink"/>
    <w:basedOn w:val="DefaultParagraphFont"/>
    <w:uiPriority w:val="99"/>
    <w:unhideWhenUsed/>
    <w:rsid w:val="00B34C23"/>
    <w:rPr>
      <w:color w:val="0563C1" w:themeColor="hyperlink"/>
      <w:u w:val="single"/>
    </w:rPr>
  </w:style>
  <w:style w:type="character" w:customStyle="1" w:styleId="UnresolvedMention">
    <w:name w:val="Unresolved Mention"/>
    <w:basedOn w:val="DefaultParagraphFont"/>
    <w:uiPriority w:val="99"/>
    <w:semiHidden/>
    <w:unhideWhenUsed/>
    <w:rsid w:val="00B34C23"/>
    <w:rPr>
      <w:color w:val="605E5C"/>
      <w:shd w:val="clear" w:color="auto" w:fill="E1DFDD"/>
    </w:rPr>
  </w:style>
  <w:style w:type="paragraph" w:styleId="FootnoteText">
    <w:name w:val="footnote text"/>
    <w:basedOn w:val="Normal"/>
    <w:link w:val="FootnoteTextChar"/>
    <w:uiPriority w:val="99"/>
    <w:semiHidden/>
    <w:unhideWhenUsed/>
    <w:rsid w:val="00DA2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BCC"/>
    <w:rPr>
      <w:noProof/>
      <w:sz w:val="20"/>
      <w:szCs w:val="20"/>
    </w:rPr>
  </w:style>
  <w:style w:type="character" w:styleId="FootnoteReference">
    <w:name w:val="footnote reference"/>
    <w:basedOn w:val="DefaultParagraphFont"/>
    <w:uiPriority w:val="99"/>
    <w:semiHidden/>
    <w:unhideWhenUsed/>
    <w:rsid w:val="00DA2BCC"/>
    <w:rPr>
      <w:vertAlign w:val="superscript"/>
    </w:rPr>
  </w:style>
  <w:style w:type="paragraph" w:styleId="ListBullet">
    <w:name w:val="List Bullet"/>
    <w:basedOn w:val="Normal"/>
    <w:uiPriority w:val="99"/>
    <w:unhideWhenUsed/>
    <w:rsid w:val="007F12A3"/>
    <w:pPr>
      <w:numPr>
        <w:numId w:val="3"/>
      </w:numPr>
      <w:contextualSpacing/>
    </w:pPr>
  </w:style>
  <w:style w:type="paragraph" w:customStyle="1" w:styleId="Default">
    <w:name w:val="Default"/>
    <w:rsid w:val="00DB69A0"/>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28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86E"/>
    <w:rPr>
      <w:noProof/>
    </w:rPr>
  </w:style>
  <w:style w:type="paragraph" w:styleId="Footer">
    <w:name w:val="footer"/>
    <w:basedOn w:val="Normal"/>
    <w:link w:val="FooterChar"/>
    <w:uiPriority w:val="99"/>
    <w:unhideWhenUsed/>
    <w:rsid w:val="0028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86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60136">
      <w:bodyDiv w:val="1"/>
      <w:marLeft w:val="0"/>
      <w:marRight w:val="0"/>
      <w:marTop w:val="0"/>
      <w:marBottom w:val="0"/>
      <w:divBdr>
        <w:top w:val="none" w:sz="0" w:space="0" w:color="auto"/>
        <w:left w:val="none" w:sz="0" w:space="0" w:color="auto"/>
        <w:bottom w:val="none" w:sz="0" w:space="0" w:color="auto"/>
        <w:right w:val="none" w:sz="0" w:space="0" w:color="auto"/>
      </w:divBdr>
    </w:div>
    <w:div w:id="1705863405">
      <w:bodyDiv w:val="1"/>
      <w:marLeft w:val="0"/>
      <w:marRight w:val="0"/>
      <w:marTop w:val="0"/>
      <w:marBottom w:val="0"/>
      <w:divBdr>
        <w:top w:val="none" w:sz="0" w:space="0" w:color="auto"/>
        <w:left w:val="none" w:sz="0" w:space="0" w:color="auto"/>
        <w:bottom w:val="none" w:sz="0" w:space="0" w:color="auto"/>
        <w:right w:val="none" w:sz="0" w:space="0" w:color="auto"/>
      </w:divBdr>
      <w:divsChild>
        <w:div w:id="919097489">
          <w:marLeft w:val="0"/>
          <w:marRight w:val="0"/>
          <w:marTop w:val="30"/>
          <w:marBottom w:val="45"/>
          <w:divBdr>
            <w:top w:val="none" w:sz="0" w:space="0" w:color="auto"/>
            <w:left w:val="none" w:sz="0" w:space="0" w:color="auto"/>
            <w:bottom w:val="none" w:sz="0" w:space="0" w:color="auto"/>
            <w:right w:val="none" w:sz="0" w:space="0" w:color="auto"/>
          </w:divBdr>
        </w:div>
      </w:divsChild>
    </w:div>
    <w:div w:id="1719357502">
      <w:bodyDiv w:val="1"/>
      <w:marLeft w:val="0"/>
      <w:marRight w:val="0"/>
      <w:marTop w:val="0"/>
      <w:marBottom w:val="0"/>
      <w:divBdr>
        <w:top w:val="none" w:sz="0" w:space="0" w:color="auto"/>
        <w:left w:val="none" w:sz="0" w:space="0" w:color="auto"/>
        <w:bottom w:val="none" w:sz="0" w:space="0" w:color="auto"/>
        <w:right w:val="none" w:sz="0" w:space="0" w:color="auto"/>
      </w:divBdr>
      <w:divsChild>
        <w:div w:id="212870021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eima@saeima.lv" TargetMode="External"/><Relationship Id="rId4" Type="http://schemas.openxmlformats.org/officeDocument/2006/relationships/settings" Target="settings.xml"/><Relationship Id="rId9" Type="http://schemas.openxmlformats.org/officeDocument/2006/relationships/hyperlink" Target="mailto:Aizsardzibas.komisija@saeim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izsardziba.saeima.lv/raksti/1593-intere%C5%A1u-p%C4%81rst%C4%81v%C4%ABbas-regul%C4%93juma-izstr%C4%81des-publisk%C4%81-apsprie%C5%A1an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51CC0-C63B-492A-8AE6-1D1740B6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5103</Words>
  <Characters>2909</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Lielpeteris</dc:creator>
  <cp:keywords/>
  <dc:description/>
  <cp:lastModifiedBy>Inese Silabriede</cp:lastModifiedBy>
  <cp:revision>2</cp:revision>
  <dcterms:created xsi:type="dcterms:W3CDTF">2021-03-02T12:18:00Z</dcterms:created>
  <dcterms:modified xsi:type="dcterms:W3CDTF">2021-03-02T12:18:00Z</dcterms:modified>
</cp:coreProperties>
</file>