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C9" w:rsidRDefault="00E325C9" w:rsidP="00E325C9">
      <w:pPr>
        <w:pStyle w:val="Title"/>
        <w:ind w:left="-567"/>
      </w:pPr>
      <w:r>
        <w:t>SAEIMAS AIZSARDZĪBAS, IEKŠLIETU UN</w:t>
      </w:r>
    </w:p>
    <w:p w:rsidR="00E325C9" w:rsidRDefault="00E325C9" w:rsidP="00E325C9">
      <w:pPr>
        <w:pStyle w:val="Title"/>
        <w:ind w:left="-567"/>
      </w:pPr>
      <w:r>
        <w:t xml:space="preserve">KORUPCIJAS NOVĒRŠANAS KOMISIJA </w:t>
      </w:r>
    </w:p>
    <w:p w:rsidR="00E325C9" w:rsidRDefault="00E325C9" w:rsidP="00E325C9">
      <w:pPr>
        <w:pStyle w:val="Title"/>
        <w:ind w:left="-567"/>
      </w:pPr>
      <w:r>
        <w:t>darba grupa</w:t>
      </w:r>
    </w:p>
    <w:p w:rsidR="00E325C9" w:rsidRDefault="00E325C9" w:rsidP="00E325C9">
      <w:pPr>
        <w:pStyle w:val="Title"/>
        <w:ind w:left="-567"/>
      </w:pPr>
      <w:r>
        <w:t>LOBĒŠANAS ATKLĀTĪBAS LIKUMA IZSTRĀDEI</w:t>
      </w:r>
    </w:p>
    <w:p w:rsidR="00E325C9" w:rsidRDefault="00524BFE" w:rsidP="00E325C9">
      <w:pPr>
        <w:ind w:left="-567"/>
        <w:jc w:val="center"/>
        <w:rPr>
          <w:b/>
        </w:rPr>
      </w:pPr>
      <w:r>
        <w:rPr>
          <w:b/>
        </w:rPr>
        <w:t>sēde Nr. 6</w:t>
      </w:r>
    </w:p>
    <w:p w:rsidR="00E325C9" w:rsidRDefault="00E325C9" w:rsidP="00E325C9">
      <w:pPr>
        <w:ind w:left="-567"/>
        <w:jc w:val="center"/>
      </w:pPr>
      <w:r>
        <w:rPr>
          <w:b/>
        </w:rPr>
        <w:t xml:space="preserve">                                                                                                                                                                                                                                                                                                                                                                                                              </w:t>
      </w:r>
    </w:p>
    <w:p w:rsidR="00E325C9" w:rsidRDefault="00E325C9" w:rsidP="00E325C9">
      <w:pPr>
        <w:ind w:left="-567"/>
        <w:jc w:val="center"/>
        <w:rPr>
          <w:b/>
          <w:bCs/>
        </w:rPr>
      </w:pPr>
      <w:r>
        <w:rPr>
          <w:b/>
          <w:bCs/>
        </w:rPr>
        <w:t>2020. gad</w:t>
      </w:r>
      <w:r w:rsidR="00524BFE">
        <w:rPr>
          <w:b/>
          <w:bCs/>
        </w:rPr>
        <w:t>a 4. martā plkst.16.00 – 17.35</w:t>
      </w:r>
    </w:p>
    <w:p w:rsidR="00E325C9" w:rsidRDefault="00E325C9" w:rsidP="00E325C9">
      <w:pPr>
        <w:pStyle w:val="BodyText3"/>
        <w:ind w:left="-567"/>
        <w:jc w:val="center"/>
      </w:pPr>
      <w:r>
        <w:t>Rīgā, Jēkaba ielā 16, komisijas sēžu zālē</w:t>
      </w:r>
    </w:p>
    <w:p w:rsidR="00E325C9" w:rsidRDefault="00E325C9" w:rsidP="00E325C9">
      <w:pPr>
        <w:pStyle w:val="BodyText3"/>
        <w:ind w:left="-567"/>
      </w:pPr>
    </w:p>
    <w:p w:rsidR="00E325C9" w:rsidRDefault="00E325C9" w:rsidP="00E325C9">
      <w:pPr>
        <w:pStyle w:val="BodyText3"/>
      </w:pPr>
      <w:r>
        <w:t xml:space="preserve">Sēdē piedalās: </w:t>
      </w:r>
    </w:p>
    <w:p w:rsidR="00E325C9" w:rsidRDefault="00E325C9" w:rsidP="00E325C9">
      <w:pPr>
        <w:jc w:val="both"/>
      </w:pPr>
      <w:r>
        <w:rPr>
          <w:iCs/>
          <w:u w:val="single"/>
        </w:rPr>
        <w:t>darba grupas locekļi:</w:t>
      </w:r>
      <w:r>
        <w:t xml:space="preserve"> </w:t>
      </w:r>
    </w:p>
    <w:p w:rsidR="00E325C9" w:rsidRDefault="00E325C9" w:rsidP="00E325C9">
      <w:pPr>
        <w:pStyle w:val="ListParagraph"/>
        <w:ind w:left="0"/>
        <w:jc w:val="both"/>
        <w:rPr>
          <w:rStyle w:val="Strong"/>
          <w:b w:val="0"/>
          <w:bCs w:val="0"/>
        </w:rPr>
      </w:pPr>
      <w:r>
        <w:rPr>
          <w:rStyle w:val="Strong"/>
          <w:b w:val="0"/>
          <w:bCs w:val="0"/>
        </w:rPr>
        <w:t>Inese Voika – “Attīstībai / Par”</w:t>
      </w:r>
    </w:p>
    <w:p w:rsidR="00503792" w:rsidRDefault="00503792" w:rsidP="00E325C9">
      <w:pPr>
        <w:pStyle w:val="ListParagraph"/>
        <w:ind w:left="0"/>
        <w:jc w:val="both"/>
        <w:rPr>
          <w:rStyle w:val="Strong"/>
          <w:b w:val="0"/>
          <w:bCs w:val="0"/>
        </w:rPr>
      </w:pPr>
      <w:r>
        <w:rPr>
          <w:rStyle w:val="Strong"/>
          <w:b w:val="0"/>
          <w:bCs w:val="0"/>
        </w:rPr>
        <w:t>Aivars Geidāns – KPV LV</w:t>
      </w:r>
    </w:p>
    <w:p w:rsidR="00E325C9" w:rsidRDefault="00E325C9" w:rsidP="00E325C9">
      <w:pPr>
        <w:pStyle w:val="ListParagraph"/>
        <w:ind w:left="0"/>
        <w:jc w:val="both"/>
        <w:rPr>
          <w:rStyle w:val="Strong"/>
          <w:b w:val="0"/>
          <w:bCs w:val="0"/>
        </w:rPr>
      </w:pPr>
      <w:r>
        <w:rPr>
          <w:rStyle w:val="Strong"/>
          <w:b w:val="0"/>
          <w:bCs w:val="0"/>
        </w:rPr>
        <w:t>Andrejs Judins – Jaunā Vienotība</w:t>
      </w:r>
    </w:p>
    <w:p w:rsidR="00E325C9" w:rsidRDefault="00E325C9" w:rsidP="00E325C9">
      <w:pPr>
        <w:pStyle w:val="ListParagraph"/>
        <w:ind w:left="0"/>
        <w:jc w:val="both"/>
        <w:rPr>
          <w:rStyle w:val="Strong"/>
          <w:b w:val="0"/>
          <w:bCs w:val="0"/>
        </w:rPr>
      </w:pPr>
      <w:r>
        <w:rPr>
          <w:rStyle w:val="Strong"/>
          <w:b w:val="0"/>
          <w:bCs w:val="0"/>
        </w:rPr>
        <w:t>Juris Rancāns – Jaunie konservatīvie</w:t>
      </w:r>
    </w:p>
    <w:p w:rsidR="0068603A" w:rsidRDefault="0068603A" w:rsidP="00E325C9">
      <w:pPr>
        <w:pStyle w:val="ListParagraph"/>
        <w:ind w:left="0"/>
        <w:jc w:val="both"/>
        <w:rPr>
          <w:rStyle w:val="Strong"/>
          <w:b w:val="0"/>
          <w:bCs w:val="0"/>
        </w:rPr>
      </w:pPr>
      <w:r>
        <w:rPr>
          <w:rStyle w:val="Strong"/>
          <w:b w:val="0"/>
          <w:bCs w:val="0"/>
        </w:rPr>
        <w:t>Edvīns Šnore – Nacionālā apvienība</w:t>
      </w:r>
    </w:p>
    <w:p w:rsidR="0068603A" w:rsidRDefault="003C4BB1" w:rsidP="00E325C9">
      <w:pPr>
        <w:pStyle w:val="ListParagraph"/>
        <w:ind w:left="0"/>
        <w:jc w:val="both"/>
        <w:rPr>
          <w:rStyle w:val="Strong"/>
          <w:b w:val="0"/>
          <w:bCs w:val="0"/>
        </w:rPr>
      </w:pPr>
      <w:r>
        <w:rPr>
          <w:rStyle w:val="Strong"/>
          <w:b w:val="0"/>
          <w:bCs w:val="0"/>
        </w:rPr>
        <w:t xml:space="preserve">Mārtiņš </w:t>
      </w:r>
      <w:r w:rsidR="00503792">
        <w:rPr>
          <w:rStyle w:val="Strong"/>
          <w:b w:val="0"/>
          <w:bCs w:val="0"/>
        </w:rPr>
        <w:t>Šteins – “Attīstībai / Par”</w:t>
      </w:r>
      <w:r>
        <w:rPr>
          <w:rStyle w:val="Strong"/>
          <w:b w:val="0"/>
          <w:bCs w:val="0"/>
        </w:rPr>
        <w:t xml:space="preserve"> (deputāta Mārtiņa </w:t>
      </w:r>
      <w:proofErr w:type="spellStart"/>
      <w:r>
        <w:rPr>
          <w:rStyle w:val="Strong"/>
          <w:b w:val="0"/>
          <w:bCs w:val="0"/>
        </w:rPr>
        <w:t>Staķa</w:t>
      </w:r>
      <w:proofErr w:type="spellEnd"/>
      <w:r>
        <w:rPr>
          <w:rStyle w:val="Strong"/>
          <w:b w:val="0"/>
          <w:bCs w:val="0"/>
        </w:rPr>
        <w:t xml:space="preserve"> vietā)</w:t>
      </w:r>
    </w:p>
    <w:p w:rsidR="00E325C9" w:rsidRDefault="00E325C9" w:rsidP="00E325C9">
      <w:pPr>
        <w:jc w:val="both"/>
        <w:rPr>
          <w:u w:val="single"/>
        </w:rPr>
      </w:pPr>
      <w:r>
        <w:rPr>
          <w:u w:val="single"/>
        </w:rPr>
        <w:t>Uzaicinātie:</w:t>
      </w:r>
    </w:p>
    <w:p w:rsidR="00E325C9" w:rsidRDefault="00E325C9" w:rsidP="00E325C9">
      <w:pPr>
        <w:pStyle w:val="ListParagraph"/>
        <w:numPr>
          <w:ilvl w:val="0"/>
          <w:numId w:val="1"/>
        </w:numPr>
        <w:autoSpaceDE w:val="0"/>
        <w:autoSpaceDN w:val="0"/>
        <w:adjustRightInd w:val="0"/>
        <w:rPr>
          <w:rFonts w:ascii="Tms Rmn" w:eastAsiaTheme="minorHAnsi" w:hAnsi="Tms Rmn" w:cs="Tms Rmn"/>
          <w:color w:val="000000"/>
        </w:rPr>
      </w:pPr>
      <w:r>
        <w:t xml:space="preserve">Valsts kancelejas </w:t>
      </w:r>
      <w:r>
        <w:rPr>
          <w:rFonts w:ascii="Tms Rmn" w:eastAsiaTheme="minorHAnsi" w:hAnsi="Tms Rmn" w:cs="Tms Rmn"/>
          <w:color w:val="000000"/>
        </w:rPr>
        <w:t>Valsts pārvaldes politikas departamenta konsultante Inese Kušķe;</w:t>
      </w:r>
    </w:p>
    <w:p w:rsidR="00E325C9" w:rsidRDefault="00E325C9" w:rsidP="00E325C9">
      <w:pPr>
        <w:pStyle w:val="ListParagraph"/>
        <w:numPr>
          <w:ilvl w:val="0"/>
          <w:numId w:val="1"/>
        </w:numPr>
        <w:jc w:val="both"/>
      </w:pPr>
      <w:r>
        <w:t xml:space="preserve">Korupcijas novēršanas un apkarošanas biroja </w:t>
      </w:r>
      <w:r w:rsidR="00AA727F">
        <w:t xml:space="preserve">(turpmāk – KNAB) </w:t>
      </w:r>
      <w:r>
        <w:t>pārstāve Inese Zelča;</w:t>
      </w:r>
    </w:p>
    <w:p w:rsidR="00E325C9" w:rsidRDefault="00E325C9" w:rsidP="00E325C9">
      <w:pPr>
        <w:pStyle w:val="ListParagraph"/>
        <w:numPr>
          <w:ilvl w:val="0"/>
          <w:numId w:val="1"/>
        </w:numPr>
        <w:jc w:val="both"/>
      </w:pPr>
      <w:r>
        <w:t xml:space="preserve">Tiesībsarga biroja </w:t>
      </w:r>
      <w:r w:rsidR="00A32130">
        <w:rPr>
          <w:rFonts w:ascii="Tms Rmn" w:eastAsiaTheme="minorHAnsi" w:hAnsi="Tms Rmn" w:cs="Tms Rmn"/>
          <w:color w:val="000000"/>
        </w:rPr>
        <w:t>pārstāve</w:t>
      </w:r>
      <w:r w:rsidR="0068603A">
        <w:rPr>
          <w:rFonts w:ascii="Tms Rmn" w:eastAsiaTheme="minorHAnsi" w:hAnsi="Tms Rmn" w:cs="Tms Rmn"/>
          <w:color w:val="000000"/>
        </w:rPr>
        <w:t xml:space="preserve"> </w:t>
      </w:r>
      <w:r w:rsidR="00A32130">
        <w:rPr>
          <w:rFonts w:ascii="Tms Rmn" w:eastAsiaTheme="minorHAnsi" w:hAnsi="Tms Rmn" w:cs="Tms Rmn"/>
          <w:color w:val="000000"/>
        </w:rPr>
        <w:t xml:space="preserve">Ilona </w:t>
      </w:r>
      <w:proofErr w:type="spellStart"/>
      <w:r w:rsidR="00A32130">
        <w:rPr>
          <w:rFonts w:ascii="Tms Rmn" w:eastAsiaTheme="minorHAnsi" w:hAnsi="Tms Rmn" w:cs="Tms Rmn"/>
          <w:color w:val="000000"/>
        </w:rPr>
        <w:t>Lošaka</w:t>
      </w:r>
      <w:proofErr w:type="spellEnd"/>
      <w:r>
        <w:rPr>
          <w:rFonts w:ascii="Tms Rmn" w:eastAsiaTheme="minorHAnsi" w:hAnsi="Tms Rmn" w:cs="Tms Rmn"/>
          <w:color w:val="000000"/>
        </w:rPr>
        <w:t>;</w:t>
      </w:r>
    </w:p>
    <w:p w:rsidR="00E325C9" w:rsidRDefault="00E325C9" w:rsidP="00E325C9">
      <w:pPr>
        <w:pStyle w:val="ListParagraph"/>
        <w:numPr>
          <w:ilvl w:val="0"/>
          <w:numId w:val="1"/>
        </w:numPr>
        <w:jc w:val="both"/>
      </w:pPr>
      <w:r>
        <w:t>Tieslietu min</w:t>
      </w:r>
      <w:r w:rsidR="00A32130">
        <w:t>istrijas pārstāve Iveta Brīnuma un</w:t>
      </w:r>
      <w:r>
        <w:t xml:space="preserve"> juriste Elīna Bez</w:t>
      </w:r>
      <w:r w:rsidR="00A32130">
        <w:t>delīga</w:t>
      </w:r>
      <w:r>
        <w:t>;</w:t>
      </w:r>
    </w:p>
    <w:p w:rsidR="00E325C9" w:rsidRDefault="00E325C9" w:rsidP="00E325C9">
      <w:pPr>
        <w:pStyle w:val="ListParagraph"/>
        <w:numPr>
          <w:ilvl w:val="0"/>
          <w:numId w:val="1"/>
        </w:numPr>
        <w:jc w:val="both"/>
      </w:pPr>
      <w:r>
        <w:t>“</w:t>
      </w:r>
      <w:r>
        <w:rPr>
          <w:rFonts w:ascii="Tms Rmn" w:eastAsiaTheme="minorHAnsi" w:hAnsi="Tms Rmn" w:cs="Tms Rmn"/>
          <w:color w:val="000000"/>
        </w:rPr>
        <w:t>Sabiedrība par atklātību –</w:t>
      </w:r>
      <w:r w:rsidR="0068603A">
        <w:rPr>
          <w:rFonts w:ascii="Tms Rmn" w:eastAsiaTheme="minorHAnsi" w:hAnsi="Tms Rmn" w:cs="Tms Rmn"/>
          <w:color w:val="000000"/>
        </w:rPr>
        <w:t xml:space="preserve"> Delna”</w:t>
      </w:r>
      <w:r>
        <w:rPr>
          <w:rFonts w:ascii="Tms Rmn" w:eastAsiaTheme="minorHAnsi" w:hAnsi="Tms Rmn" w:cs="Tms Rmn"/>
          <w:color w:val="000000"/>
        </w:rPr>
        <w:t xml:space="preserve"> juriste </w:t>
      </w:r>
      <w:r>
        <w:t>Zane Zvirgzdiņa;</w:t>
      </w:r>
    </w:p>
    <w:p w:rsidR="00E325C9" w:rsidRDefault="00E325C9" w:rsidP="00E325C9">
      <w:pPr>
        <w:pStyle w:val="ListParagraph"/>
        <w:numPr>
          <w:ilvl w:val="0"/>
          <w:numId w:val="1"/>
        </w:numPr>
        <w:jc w:val="both"/>
      </w:pPr>
      <w:r>
        <w:t xml:space="preserve">“Domnīcas </w:t>
      </w:r>
      <w:proofErr w:type="spellStart"/>
      <w:r>
        <w:t>Providus</w:t>
      </w:r>
      <w:proofErr w:type="spellEnd"/>
      <w:r>
        <w:t>” vadošā pētniece Līga Stafecka;</w:t>
      </w:r>
    </w:p>
    <w:p w:rsidR="00E325C9" w:rsidRDefault="00E325C9" w:rsidP="00E325C9">
      <w:pPr>
        <w:jc w:val="both"/>
        <w:rPr>
          <w:u w:val="single"/>
        </w:rPr>
      </w:pPr>
      <w:r>
        <w:rPr>
          <w:u w:val="single"/>
        </w:rPr>
        <w:t>citas personas:</w:t>
      </w:r>
    </w:p>
    <w:p w:rsidR="00E325C9" w:rsidRDefault="00E325C9" w:rsidP="00E325C9">
      <w:pPr>
        <w:jc w:val="both"/>
      </w:pPr>
      <w:r>
        <w:t>Saeimas Analītiskā biroja pētnieks Visvaldis Valtenbergs;</w:t>
      </w:r>
    </w:p>
    <w:p w:rsidR="00E325C9" w:rsidRDefault="00853606" w:rsidP="00E325C9">
      <w:pPr>
        <w:jc w:val="both"/>
      </w:pPr>
      <w:r>
        <w:t>komisijas</w:t>
      </w:r>
      <w:r w:rsidR="00E325C9">
        <w:t xml:space="preserve"> </w:t>
      </w:r>
      <w:r w:rsidR="003C4BB1">
        <w:t xml:space="preserve">vecākā konsultante Ieva </w:t>
      </w:r>
      <w:proofErr w:type="spellStart"/>
      <w:r w:rsidR="003C4BB1">
        <w:t>Barvika</w:t>
      </w:r>
      <w:proofErr w:type="spellEnd"/>
      <w:r w:rsidR="003C4BB1">
        <w:t xml:space="preserve"> un konsultante</w:t>
      </w:r>
      <w:r w:rsidR="00E325C9">
        <w:t xml:space="preserve"> Inese Silabriede</w:t>
      </w:r>
    </w:p>
    <w:p w:rsidR="000A62CE" w:rsidRDefault="000A62CE" w:rsidP="00E325C9">
      <w:pPr>
        <w:jc w:val="both"/>
      </w:pPr>
    </w:p>
    <w:p w:rsidR="000A62CE" w:rsidRPr="000A62CE" w:rsidRDefault="000A62CE" w:rsidP="00E325C9">
      <w:pPr>
        <w:jc w:val="both"/>
        <w:rPr>
          <w:i/>
        </w:rPr>
      </w:pPr>
      <w:r w:rsidRPr="000A62CE">
        <w:rPr>
          <w:i/>
        </w:rPr>
        <w:tab/>
        <w:t>Sēdes sākumā tiek apspriesta iespēja mainīt sēžu norises dienu un laiku, bet deputāti vienojas neko nemainīt.</w:t>
      </w:r>
    </w:p>
    <w:p w:rsidR="000A62CE" w:rsidRDefault="00E325C9" w:rsidP="006D43B8">
      <w:pPr>
        <w:ind w:firstLine="567"/>
        <w:jc w:val="both"/>
      </w:pPr>
      <w:r>
        <w:rPr>
          <w:b/>
        </w:rPr>
        <w:t>I.Voika</w:t>
      </w:r>
      <w:r>
        <w:t xml:space="preserve"> </w:t>
      </w:r>
      <w:r w:rsidR="006D43B8">
        <w:t xml:space="preserve">informē par izmaiņām darba grupas sastāvā; atzīmē, ka turpmāk frakciju “Attīstībai / Par” Mārtiņa </w:t>
      </w:r>
      <w:proofErr w:type="spellStart"/>
      <w:r w:rsidR="006D43B8">
        <w:t>Staķa</w:t>
      </w:r>
      <w:proofErr w:type="spellEnd"/>
      <w:r w:rsidR="006D43B8">
        <w:t xml:space="preserve"> vietā pārstāvēs deputāts Mārtiņš Šteins. </w:t>
      </w:r>
    </w:p>
    <w:p w:rsidR="000A62CE" w:rsidRDefault="000A62CE" w:rsidP="006D43B8">
      <w:pPr>
        <w:ind w:firstLine="567"/>
        <w:jc w:val="both"/>
      </w:pPr>
      <w:r>
        <w:t>I.Voika ierosina šajā sēdē konceptuāli izrunāt šādus jautājumus:</w:t>
      </w:r>
    </w:p>
    <w:p w:rsidR="000A62CE" w:rsidRDefault="000A62CE" w:rsidP="006D43B8">
      <w:pPr>
        <w:ind w:firstLine="567"/>
        <w:jc w:val="both"/>
        <w:rPr>
          <w:bCs/>
        </w:rPr>
      </w:pPr>
      <w:r>
        <w:t xml:space="preserve">- </w:t>
      </w:r>
      <w:r w:rsidR="006D43B8">
        <w:rPr>
          <w:bCs/>
        </w:rPr>
        <w:t>l</w:t>
      </w:r>
      <w:r>
        <w:rPr>
          <w:bCs/>
        </w:rPr>
        <w:t>obētāju reģistra uzturētāji;</w:t>
      </w:r>
    </w:p>
    <w:p w:rsidR="000A62CE" w:rsidRDefault="000A62CE" w:rsidP="006D43B8">
      <w:pPr>
        <w:ind w:firstLine="567"/>
        <w:jc w:val="both"/>
        <w:rPr>
          <w:bCs/>
        </w:rPr>
      </w:pPr>
      <w:r>
        <w:rPr>
          <w:bCs/>
        </w:rPr>
        <w:t>- sankcijas;</w:t>
      </w:r>
    </w:p>
    <w:p w:rsidR="000A62CE" w:rsidRDefault="000A62CE" w:rsidP="006D43B8">
      <w:pPr>
        <w:ind w:firstLine="567"/>
        <w:jc w:val="both"/>
        <w:rPr>
          <w:bCs/>
        </w:rPr>
      </w:pPr>
      <w:r>
        <w:rPr>
          <w:bCs/>
        </w:rPr>
        <w:t>-</w:t>
      </w:r>
      <w:r w:rsidR="006D43B8" w:rsidRPr="006D43B8">
        <w:rPr>
          <w:bCs/>
        </w:rPr>
        <w:t xml:space="preserve"> ētik</w:t>
      </w:r>
      <w:r>
        <w:rPr>
          <w:bCs/>
        </w:rPr>
        <w:t>as kodeksi;</w:t>
      </w:r>
    </w:p>
    <w:p w:rsidR="003C4BB1" w:rsidRDefault="000A62CE" w:rsidP="006D43B8">
      <w:pPr>
        <w:ind w:firstLine="567"/>
        <w:jc w:val="both"/>
        <w:rPr>
          <w:bCs/>
        </w:rPr>
      </w:pPr>
      <w:r>
        <w:rPr>
          <w:bCs/>
        </w:rPr>
        <w:t>-</w:t>
      </w:r>
      <w:r w:rsidR="006D43B8">
        <w:rPr>
          <w:bCs/>
        </w:rPr>
        <w:t xml:space="preserve"> deputātu kalendāri.</w:t>
      </w:r>
    </w:p>
    <w:p w:rsidR="00062B2C" w:rsidRDefault="00F97C2F" w:rsidP="00427737">
      <w:pPr>
        <w:ind w:firstLine="567"/>
        <w:jc w:val="both"/>
      </w:pPr>
      <w:r>
        <w:rPr>
          <w:bCs/>
        </w:rPr>
        <w:t xml:space="preserve">Atgādina iepriekšējās sēdēs nolemto. ka reģistram jābūt visaptverošam, obligātam un vienam. Informē par citu valstu </w:t>
      </w:r>
      <w:r w:rsidR="00AA727F">
        <w:rPr>
          <w:bCs/>
        </w:rPr>
        <w:t xml:space="preserve">(Beļģija, Francija, Īrija, Lielbritānija, Lietuva, Skotija) </w:t>
      </w:r>
      <w:r>
        <w:rPr>
          <w:bCs/>
        </w:rPr>
        <w:t xml:space="preserve">pieredzi un rekomendācijām attiecībā uz </w:t>
      </w:r>
      <w:r w:rsidRPr="00F97C2F">
        <w:rPr>
          <w:b/>
          <w:bCs/>
        </w:rPr>
        <w:t>lobētāju reģistra</w:t>
      </w:r>
      <w:r>
        <w:rPr>
          <w:bCs/>
        </w:rPr>
        <w:t xml:space="preserve"> </w:t>
      </w:r>
      <w:proofErr w:type="spellStart"/>
      <w:r w:rsidRPr="00F97C2F">
        <w:rPr>
          <w:b/>
          <w:bCs/>
        </w:rPr>
        <w:t>turētājorganizācijām</w:t>
      </w:r>
      <w:proofErr w:type="spellEnd"/>
      <w:r>
        <w:rPr>
          <w:bCs/>
        </w:rPr>
        <w:t>. E</w:t>
      </w:r>
      <w:r w:rsidR="00CA5270">
        <w:rPr>
          <w:bCs/>
        </w:rPr>
        <w:t>iropas Parlamenta Ministru kabi</w:t>
      </w:r>
      <w:r>
        <w:rPr>
          <w:bCs/>
        </w:rPr>
        <w:t xml:space="preserve">nets </w:t>
      </w:r>
      <w:r w:rsidR="006D4D38" w:rsidRPr="00F97C2F">
        <w:t xml:space="preserve">rekomendē par lobētāju reģistra uzturētāju noteikt kādu no publiskajām iestādēm vai citām specializētajām institūcijām. </w:t>
      </w:r>
      <w:proofErr w:type="gramStart"/>
      <w:r w:rsidR="006D4D38" w:rsidRPr="00F97C2F">
        <w:t>Iespējams</w:t>
      </w:r>
      <w:proofErr w:type="gramEnd"/>
      <w:r w:rsidR="006D4D38" w:rsidRPr="00F97C2F">
        <w:t xml:space="preserve"> lobētāju reģistrāciju uzticēt arī citām organizāci</w:t>
      </w:r>
      <w:r w:rsidR="00592B55">
        <w:t>jām (arī</w:t>
      </w:r>
      <w:r w:rsidR="006D4D38" w:rsidRPr="00F97C2F">
        <w:t xml:space="preserve"> pašām lobētāju asociācijām), taču </w:t>
      </w:r>
      <w:r w:rsidR="00D078AB">
        <w:t xml:space="preserve">tā ir retāk izplatīta prakse.  Kā fundamentālu jautājumu akcentē, kā lobētājiem </w:t>
      </w:r>
      <w:r w:rsidR="006D4D38" w:rsidRPr="00F97C2F">
        <w:t>pašiem jāspēj n</w:t>
      </w:r>
      <w:r w:rsidR="00D078AB">
        <w:t>odrošināt informācijas korektumu un aktualitāti</w:t>
      </w:r>
      <w:r w:rsidR="006D4D38" w:rsidRPr="00F97C2F">
        <w:t xml:space="preserve">. </w:t>
      </w:r>
      <w:r w:rsidR="00FC5063">
        <w:t xml:space="preserve">Lobētāju reģistrs ir informatīvs, nevis </w:t>
      </w:r>
      <w:r w:rsidR="00A23DE9">
        <w:t>publiski ticams</w:t>
      </w:r>
      <w:r w:rsidR="00FC5063">
        <w:t>. Šajā aspektā ir jāizšķiras par iestādi, kuras pārraudzībā būs šis reģistrs.</w:t>
      </w:r>
      <w:r w:rsidR="00592B55">
        <w:t xml:space="preserve"> </w:t>
      </w:r>
      <w:r w:rsidR="00427737">
        <w:t>A</w:t>
      </w:r>
      <w:r w:rsidR="00AA727F">
        <w:t>icina diskutēt par iestādes, kura veiks reģistra pārvaldību, izvēli.</w:t>
      </w:r>
    </w:p>
    <w:p w:rsidR="00AA727F" w:rsidRDefault="00AA727F" w:rsidP="00D078AB">
      <w:pPr>
        <w:ind w:firstLine="567"/>
        <w:jc w:val="both"/>
      </w:pPr>
      <w:r w:rsidRPr="00AA727F">
        <w:rPr>
          <w:b/>
        </w:rPr>
        <w:t>I.Zelča</w:t>
      </w:r>
      <w:r>
        <w:t xml:space="preserve"> izprot vēlmi šo uzdevumu uzticēt KNAB, bet atzīmē, ka šobrīd KNAB nepietiek resursu un kapacitātes papildus pienākumu izpildei. Tas ir iestādes viedoklis. Atzīmē, ka pagaidām nav skaidrības, kāds būs jaunās funkcijas tiesiskais ietvars, tādēļ nav iespējams kvalitatīvi izvērtēt reģistra uzturēšanas funkciju salāg</w:t>
      </w:r>
      <w:r w:rsidR="00427737">
        <w:t>ošanas iespējas ar KNAB jau deleģēt</w:t>
      </w:r>
      <w:r>
        <w:t>ajām funkcijām.</w:t>
      </w:r>
    </w:p>
    <w:p w:rsidR="00AA727F" w:rsidRDefault="00AA727F" w:rsidP="00D078AB">
      <w:pPr>
        <w:ind w:firstLine="567"/>
        <w:jc w:val="both"/>
      </w:pPr>
      <w:r w:rsidRPr="006A5642">
        <w:rPr>
          <w:b/>
        </w:rPr>
        <w:lastRenderedPageBreak/>
        <w:t>Z.Zvirgzdiņa</w:t>
      </w:r>
      <w:r>
        <w:t xml:space="preserve"> uzskata, ka šī funkcija atbilst KNAB kompetencēm</w:t>
      </w:r>
      <w:r w:rsidR="006A5642">
        <w:t xml:space="preserve">, bet vienlaikus ir jāparedz arī iestādes kapacitātes stiprināšana un resursu palielināšana. Akcentē KNAB kā tiesībaizsardzības iestādes </w:t>
      </w:r>
      <w:r w:rsidR="0089048C">
        <w:t xml:space="preserve">tiesības </w:t>
      </w:r>
      <w:r w:rsidR="006A5642">
        <w:t>piemērot sodus un sankcijas.</w:t>
      </w:r>
    </w:p>
    <w:p w:rsidR="00DA7685" w:rsidRDefault="00DA7685" w:rsidP="00D078AB">
      <w:pPr>
        <w:ind w:firstLine="567"/>
        <w:jc w:val="both"/>
      </w:pPr>
      <w:r w:rsidRPr="00DA7685">
        <w:rPr>
          <w:b/>
        </w:rPr>
        <w:t>L.Stafecka</w:t>
      </w:r>
      <w:r>
        <w:t xml:space="preserve"> arī uzskata, ka reģistra uzturēšana saturiski un pēc būtības vistuvāk atbilst KNAB profilam. Jebkurai iestādei būs vajadzīgi papildus resursi. Kā papildus iespēju vēl atzīmē Valsts kanceleju.</w:t>
      </w:r>
    </w:p>
    <w:p w:rsidR="00DA7685" w:rsidRPr="00F97C2F" w:rsidRDefault="00DA7685" w:rsidP="00D078AB">
      <w:pPr>
        <w:ind w:firstLine="567"/>
        <w:jc w:val="both"/>
      </w:pPr>
      <w:r w:rsidRPr="00DA7685">
        <w:rPr>
          <w:b/>
        </w:rPr>
        <w:t>I.Voika</w:t>
      </w:r>
      <w:r>
        <w:t xml:space="preserve"> ierosina apspriest arī Uzņēmuma reģistra (turpmāk – UR) atbilstību lobētāju reģistra uzturēšanai.</w:t>
      </w:r>
    </w:p>
    <w:p w:rsidR="00F97C2F" w:rsidRDefault="00DA7685" w:rsidP="006D43B8">
      <w:pPr>
        <w:ind w:firstLine="567"/>
        <w:jc w:val="both"/>
      </w:pPr>
      <w:r w:rsidRPr="00A14110">
        <w:rPr>
          <w:b/>
        </w:rPr>
        <w:t>L.Stafecka</w:t>
      </w:r>
      <w:r>
        <w:t xml:space="preserve"> komentē UR neatbilstību šādas funkcijas veikšanai, bet </w:t>
      </w:r>
      <w:r w:rsidRPr="00A14110">
        <w:rPr>
          <w:b/>
        </w:rPr>
        <w:t>Z.Zvirgzdiņa</w:t>
      </w:r>
      <w:r>
        <w:t xml:space="preserve"> norāda uz piekļuvi reģistra slēptās daļas datiem, ko drīkst vien</w:t>
      </w:r>
      <w:r w:rsidR="00A14110">
        <w:t>īgi izme</w:t>
      </w:r>
      <w:r>
        <w:t>klēšanas iestāde.</w:t>
      </w:r>
    </w:p>
    <w:p w:rsidR="00246EAD" w:rsidRDefault="00246EAD" w:rsidP="006D43B8">
      <w:pPr>
        <w:ind w:firstLine="567"/>
        <w:jc w:val="both"/>
      </w:pPr>
      <w:r w:rsidRPr="00246EAD">
        <w:rPr>
          <w:b/>
        </w:rPr>
        <w:t>E.Šnore</w:t>
      </w:r>
      <w:r>
        <w:t xml:space="preserve"> pauž vēlmi izpētīt visas šīs jaunās funkcija</w:t>
      </w:r>
      <w:r w:rsidR="0089048C">
        <w:t>s izmaksas, bet pagaidām atbildi šajā jautājumā neformulē.</w:t>
      </w:r>
    </w:p>
    <w:p w:rsidR="00246EAD" w:rsidRDefault="00246EAD" w:rsidP="006D43B8">
      <w:pPr>
        <w:ind w:firstLine="567"/>
        <w:jc w:val="both"/>
      </w:pPr>
      <w:r w:rsidRPr="00246EAD">
        <w:rPr>
          <w:b/>
        </w:rPr>
        <w:t>I.Kušķe</w:t>
      </w:r>
      <w:r>
        <w:t xml:space="preserve"> noraida Valsts kancelejas pienākumu lobistu reģistra u</w:t>
      </w:r>
      <w:r w:rsidR="0089048C">
        <w:t>zturēšanā, jo tas nav atbilstošs šīs</w:t>
      </w:r>
      <w:r>
        <w:t xml:space="preserve"> iestādes pamatfunkcijām. Uzskata, ka šī funkcija ir piemērota KNAB, bet varētu būt arī UR, kam jau ir pieredze ar patiesā labuma guvēju reģistru. Iesaka papētīt UR iespējas. Sākumā ir jāparedz veicamās funkcijas.</w:t>
      </w:r>
    </w:p>
    <w:p w:rsidR="00246EAD" w:rsidRDefault="00246EAD" w:rsidP="006D43B8">
      <w:pPr>
        <w:ind w:firstLine="567"/>
        <w:jc w:val="both"/>
      </w:pPr>
      <w:r w:rsidRPr="00242706">
        <w:rPr>
          <w:b/>
        </w:rPr>
        <w:t>I.Brīnuma</w:t>
      </w:r>
      <w:r>
        <w:t xml:space="preserve"> Tieslietu ministrijas (turpmāk – TM) skatījumā atzīmē</w:t>
      </w:r>
      <w:r w:rsidR="00242706">
        <w:t>, ka reģistra uzturē</w:t>
      </w:r>
      <w:r w:rsidR="00CA5270">
        <w:t>šanas funkcija sistēmiski</w:t>
      </w:r>
      <w:r w:rsidR="00242706">
        <w:t xml:space="preserve"> atbilst KNAB darbībai. KNAB ir pieredze darbam ar politiskajām partijām un to ziedojumiem, interešu konfliktu. Jāņem arī vērā, ka KNAB atrodas Ministru kabineta</w:t>
      </w:r>
      <w:r w:rsidR="0089048C">
        <w:t>, nevis kādas ministrijas</w:t>
      </w:r>
      <w:r w:rsidR="00242706">
        <w:t xml:space="preserve"> pārraudzībā.</w:t>
      </w:r>
      <w:r w:rsidR="004067B1">
        <w:t xml:space="preserve"> UR ir iestāde ar specifiskām funkcijām, bet tas vēl ir rūpīgāk jāizvērtē.</w:t>
      </w:r>
    </w:p>
    <w:p w:rsidR="004067B1" w:rsidRDefault="004067B1" w:rsidP="006D43B8">
      <w:pPr>
        <w:ind w:firstLine="567"/>
        <w:jc w:val="both"/>
      </w:pPr>
      <w:proofErr w:type="spellStart"/>
      <w:r w:rsidRPr="00DC2A9E">
        <w:rPr>
          <w:b/>
        </w:rPr>
        <w:t>I.Lošaka</w:t>
      </w:r>
      <w:proofErr w:type="spellEnd"/>
      <w:r w:rsidR="00DC2A9E">
        <w:t xml:space="preserve"> (Tiesībsargs) uzskata, ka reģistra pārvaldība nav jādeleģē Valsts kancelejai, bet vēl ir jādiskutē kurai no iestādēm atbilstoši funkcijām – KNAB vai UR – tā ir atbilstošāka.</w:t>
      </w:r>
    </w:p>
    <w:p w:rsidR="00DC2A9E" w:rsidRDefault="00DC2A9E" w:rsidP="006D43B8">
      <w:pPr>
        <w:ind w:firstLine="567"/>
        <w:jc w:val="both"/>
      </w:pPr>
      <w:r w:rsidRPr="00485CB0">
        <w:rPr>
          <w:b/>
        </w:rPr>
        <w:t>A.Geidāns</w:t>
      </w:r>
      <w:r w:rsidR="00485CB0">
        <w:t xml:space="preserve"> iesaka izskatīt UR variantu. Pauž skeptisku viedokli par esošo informācijas sistēmu un datu bāzu funkcionēšanas kvalitāti.</w:t>
      </w:r>
    </w:p>
    <w:p w:rsidR="00485CB0" w:rsidRDefault="00485CB0" w:rsidP="00485CB0">
      <w:pPr>
        <w:ind w:firstLine="567"/>
        <w:jc w:val="both"/>
      </w:pPr>
      <w:r w:rsidRPr="00485CB0">
        <w:rPr>
          <w:b/>
        </w:rPr>
        <w:t>E.Šnore</w:t>
      </w:r>
      <w:r>
        <w:t xml:space="preserve"> iesaka izvairīties no pārmērīgas birokratizācijas. Uzsver visa pasākuma izmaksu samērību salīdzinājumā ar iegūto labumu sabiedrībai. Šobrīd ir maz labo piemēru. Atzīmē Skandināvijas valstu pieredzi, kur nav ne lobēšanas reģistru, ne korupcijas.</w:t>
      </w:r>
    </w:p>
    <w:p w:rsidR="00485CB0" w:rsidRDefault="00485CB0" w:rsidP="00485CB0">
      <w:pPr>
        <w:ind w:firstLine="567"/>
        <w:jc w:val="both"/>
      </w:pPr>
      <w:r w:rsidRPr="00485CB0">
        <w:rPr>
          <w:b/>
        </w:rPr>
        <w:t>I.Brīnuma</w:t>
      </w:r>
      <w:r>
        <w:t xml:space="preserve"> atsaucas uz publiski pieejamo ētikas kodeksu pieredzi un iesaka pārdomāt lobistu asociācijas uzturēta reģistra iespējamību, tomēr atzīmē, ka ētika un sodi ir būtiski atšķirīgas kategorijas.</w:t>
      </w:r>
    </w:p>
    <w:p w:rsidR="00485CB0" w:rsidRDefault="00485CB0" w:rsidP="00485CB0">
      <w:pPr>
        <w:ind w:firstLine="567"/>
        <w:jc w:val="both"/>
      </w:pPr>
      <w:r w:rsidRPr="00375B6E">
        <w:rPr>
          <w:b/>
        </w:rPr>
        <w:t>I.Voika</w:t>
      </w:r>
      <w:r>
        <w:t xml:space="preserve"> secina, ka tuvojas brīdis, kad darba grupā ir jāuzklausa lielo interešu pārstāvniecību viedoklis. </w:t>
      </w:r>
      <w:r w:rsidR="00375B6E">
        <w:t>Pamato</w:t>
      </w:r>
      <w:r>
        <w:t xml:space="preserve"> </w:t>
      </w:r>
      <w:r w:rsidR="00375B6E">
        <w:t>Latvijas Tirdzniecības un rūpniecības kameras (turpmāk – LTRK) ieinteresētību likuma un reģistra radīšanā. Vairākas lielās asociācijas vēlas, lai ar viņiem rēķinātos kā ar leģitīmiem savu interešu aizstāvjiem. Tas, iespējams, vairotu sabiedrības uzticēšanos uzņēmējiem un asociācijām.</w:t>
      </w:r>
    </w:p>
    <w:p w:rsidR="00135A4C" w:rsidRPr="00135A4C" w:rsidRDefault="0089048C" w:rsidP="00485CB0">
      <w:pPr>
        <w:ind w:firstLine="567"/>
        <w:jc w:val="both"/>
        <w:rPr>
          <w:i/>
        </w:rPr>
      </w:pPr>
      <w:r>
        <w:rPr>
          <w:i/>
        </w:rPr>
        <w:t>Tiek izteikta arī ideja, ka paša</w:t>
      </w:r>
      <w:r w:rsidR="00135A4C" w:rsidRPr="00135A4C">
        <w:rPr>
          <w:i/>
        </w:rPr>
        <w:t xml:space="preserve">s organizācijas reģistrē, bet KNAB </w:t>
      </w:r>
      <w:r>
        <w:rPr>
          <w:i/>
        </w:rPr>
        <w:t xml:space="preserve">to </w:t>
      </w:r>
      <w:proofErr w:type="spellStart"/>
      <w:r w:rsidR="00135A4C" w:rsidRPr="00135A4C">
        <w:rPr>
          <w:i/>
        </w:rPr>
        <w:t>ontrolē</w:t>
      </w:r>
      <w:proofErr w:type="spellEnd"/>
      <w:r w:rsidR="00135A4C" w:rsidRPr="00135A4C">
        <w:rPr>
          <w:i/>
        </w:rPr>
        <w:t>.</w:t>
      </w:r>
    </w:p>
    <w:p w:rsidR="00135A4C" w:rsidRDefault="00135A4C" w:rsidP="00485CB0">
      <w:pPr>
        <w:ind w:firstLine="567"/>
        <w:jc w:val="both"/>
      </w:pPr>
      <w:r w:rsidRPr="00546A9C">
        <w:rPr>
          <w:b/>
        </w:rPr>
        <w:t>J.Rancāns</w:t>
      </w:r>
      <w:r>
        <w:t xml:space="preserve"> </w:t>
      </w:r>
      <w:r w:rsidR="00546A9C">
        <w:t>piekrīt izmaksu jautājuma svarīgumam. Uzskata, ka reģistra uzturēšana jāuztic KNAB, jo viņiem jau ir līdzīga pieredze. Uzsver sodu kontekstu. Pauž skeptisku viedokli par asociāciju iesaisti reģistra uzturēšanā.</w:t>
      </w:r>
    </w:p>
    <w:p w:rsidR="00546A9C" w:rsidRDefault="00546A9C" w:rsidP="00485CB0">
      <w:pPr>
        <w:ind w:firstLine="567"/>
        <w:jc w:val="both"/>
      </w:pPr>
      <w:r w:rsidRPr="00D744AF">
        <w:rPr>
          <w:b/>
        </w:rPr>
        <w:t>A.Judins</w:t>
      </w:r>
      <w:r>
        <w:t xml:space="preserve"> atgādina, ka UR ir plašas funkcijas, tās iespējams vēl paplašināt</w:t>
      </w:r>
      <w:r w:rsidR="00D744AF">
        <w:t>, lai tas būtu</w:t>
      </w:r>
      <w:r>
        <w:t xml:space="preserve"> visu reģistru reģistrs.</w:t>
      </w:r>
      <w:r w:rsidR="00D744AF">
        <w:t xml:space="preserve"> Uzskata, ka KNAB būtu piemērotāks reģistra uzturēšanai, bet ir apsverams arī UR variants. Atzīmē, ka šobrīd iestādes izvēle nav prioritārs jautājums, par to vēl varēs diskutēt, apspriežot likumprojektu pa lasījumiem. Uzsver, ka jāsāk rakst</w:t>
      </w:r>
      <w:r w:rsidR="00A83237">
        <w:t>īt likumprojektu, lai notiktu reāla virzība uz priekšu.</w:t>
      </w:r>
    </w:p>
    <w:p w:rsidR="00A83237" w:rsidRDefault="00A83237" w:rsidP="00485CB0">
      <w:pPr>
        <w:ind w:firstLine="567"/>
        <w:jc w:val="both"/>
      </w:pPr>
      <w:r w:rsidRPr="00A83237">
        <w:rPr>
          <w:b/>
        </w:rPr>
        <w:t>M.Šteins</w:t>
      </w:r>
      <w:r>
        <w:t xml:space="preserve"> piev</w:t>
      </w:r>
      <w:r w:rsidR="0089048C">
        <w:t>ienojas reģistra nepieciešamības idejai</w:t>
      </w:r>
      <w:r>
        <w:t>, uzsver to kā ieguvumu sabiedrībai. Atsaucas uz savu pieredzi saskarsmē ar lobismu Saeimas Budžeta un finanšu (nodokļu) komisijā. Atbalsta KNAB variantu. Akcentē darbību automatizācijas nozīmi topošajā reģistr</w:t>
      </w:r>
      <w:r w:rsidR="00C16184">
        <w:t>ā, salīdzina ar V</w:t>
      </w:r>
      <w:r w:rsidR="0048741E">
        <w:t>alsts ieņēmumu dienesta</w:t>
      </w:r>
      <w:r w:rsidR="00C16184">
        <w:t xml:space="preserve"> EDS</w:t>
      </w:r>
      <w:r w:rsidR="0048741E">
        <w:t xml:space="preserve"> sistēmu</w:t>
      </w:r>
      <w:r w:rsidR="00C16184">
        <w:t>.</w:t>
      </w:r>
    </w:p>
    <w:p w:rsidR="00C16184" w:rsidRDefault="00C16184" w:rsidP="00485CB0">
      <w:pPr>
        <w:ind w:firstLine="567"/>
        <w:jc w:val="both"/>
      </w:pPr>
      <w:r w:rsidRPr="00627FE6">
        <w:rPr>
          <w:b/>
        </w:rPr>
        <w:t>I.Voika</w:t>
      </w:r>
      <w:r>
        <w:t xml:space="preserve"> sniedz vēsturisku ieskatu par procesu, kā </w:t>
      </w:r>
      <w:r w:rsidR="00627FE6">
        <w:t>politisko p</w:t>
      </w:r>
      <w:r>
        <w:t xml:space="preserve">artiju </w:t>
      </w:r>
      <w:r w:rsidR="00627FE6">
        <w:t xml:space="preserve">finansēšanas uzraudzība 2002. gadā tika ietverta topošajā KNAB likumā, kaut arī citās valstīs šāda funkcija analogām iestādēm nav raksturīga. Kā variantu reģistra uzturēšanai piedāvā </w:t>
      </w:r>
      <w:r w:rsidR="0089048C">
        <w:t xml:space="preserve">arī iespēju veidot jaunu iestādi </w:t>
      </w:r>
      <w:r w:rsidR="0089048C">
        <w:lastRenderedPageBreak/>
        <w:t>speciāli</w:t>
      </w:r>
      <w:r w:rsidR="00627FE6">
        <w:t xml:space="preserve"> šai funkcijai, tomēr atzīmē, ka tas nav atbilstoši esošajai valsts pārvaldes politikai. Uzskata, ka reģistra uzturēšanas funkcija visatbilstošākā būtu KNAB kompetencei. Pamato savu viedokli ar GRECO u.c. starptautisko organizāciju rekomendācijām. Kā labo praksi atzīmē Īrijas pieredzi.</w:t>
      </w:r>
      <w:r w:rsidR="006F5385">
        <w:t xml:space="preserve"> Iesaka uzklausīt UR viedokli.</w:t>
      </w:r>
    </w:p>
    <w:p w:rsidR="00DB069A" w:rsidRDefault="00DB069A" w:rsidP="006D43B8">
      <w:pPr>
        <w:ind w:firstLine="567"/>
        <w:jc w:val="both"/>
      </w:pPr>
      <w:r w:rsidRPr="00DB069A">
        <w:rPr>
          <w:b/>
        </w:rPr>
        <w:t>I.Brīnuma</w:t>
      </w:r>
      <w:r>
        <w:t xml:space="preserve"> akcentē, ka UR tikai reģistrē faktus, tam nav pienākuma sniegt sabiedrībai izskaidrojošu informāciju.</w:t>
      </w:r>
    </w:p>
    <w:p w:rsidR="00DC2A9E" w:rsidRDefault="00DB069A" w:rsidP="006D43B8">
      <w:pPr>
        <w:ind w:firstLine="567"/>
        <w:jc w:val="both"/>
      </w:pPr>
      <w:r w:rsidRPr="00DB069A">
        <w:rPr>
          <w:b/>
        </w:rPr>
        <w:t>I.Kušķe</w:t>
      </w:r>
      <w:r>
        <w:t xml:space="preserve"> ierosina uz nākamo darba grupas sēdi uzaicināt UR pārstāvi, kurš varētu informēt par patiesā labuma guvēju reģistra pieredzi.</w:t>
      </w:r>
    </w:p>
    <w:p w:rsidR="00DB069A" w:rsidRDefault="00DB069A" w:rsidP="006D43B8">
      <w:pPr>
        <w:ind w:firstLine="567"/>
        <w:jc w:val="both"/>
      </w:pPr>
      <w:r w:rsidRPr="00767779">
        <w:rPr>
          <w:b/>
        </w:rPr>
        <w:t>I.Voika</w:t>
      </w:r>
      <w:r>
        <w:t xml:space="preserve"> atbalsta I.Kušķes priekšlikumu, iesaka uz šo sēdi </w:t>
      </w:r>
      <w:r w:rsidR="00767779">
        <w:t xml:space="preserve">pieredzes uzklausīšanai </w:t>
      </w:r>
      <w:r>
        <w:t>uzaicināt arī KNAB Politisko partiju finansēšanas nodaļas vadītāju</w:t>
      </w:r>
      <w:r w:rsidR="00767779">
        <w:t>, kā arī LTRK pārstāvi, kas prezentētu organizācijas ideju par reģistra nepieciešamību.</w:t>
      </w:r>
    </w:p>
    <w:p w:rsidR="000165D8" w:rsidRPr="000165D8" w:rsidRDefault="000165D8" w:rsidP="006D43B8">
      <w:pPr>
        <w:ind w:firstLine="567"/>
        <w:jc w:val="both"/>
        <w:rPr>
          <w:i/>
        </w:rPr>
      </w:pPr>
      <w:r w:rsidRPr="000165D8">
        <w:rPr>
          <w:i/>
        </w:rPr>
        <w:t>Darba grupa atbalsta ieteiktās idejas par personu uzaicināšanu uz nākamo sēdi.</w:t>
      </w:r>
    </w:p>
    <w:p w:rsidR="00AA727F" w:rsidRDefault="000165D8" w:rsidP="00E440AF">
      <w:pPr>
        <w:ind w:firstLine="567"/>
        <w:jc w:val="both"/>
      </w:pPr>
      <w:r w:rsidRPr="00767779">
        <w:rPr>
          <w:b/>
        </w:rPr>
        <w:t>I.Voika</w:t>
      </w:r>
      <w:r>
        <w:t xml:space="preserve"> aicina sākt diskusiju par sodiem un sankcijām.</w:t>
      </w:r>
      <w:r w:rsidR="00BE773F">
        <w:t xml:space="preserve"> Uzsver, ka regulējumam būtu jāsatur sankcijas par neatbilstību. Informē par citu valstu (ASV, Vācija, Beļģija, Francija, Īrija, Lielbritānija, Lietuva, Skotija) pieredzi šajā jomā. Atsaucoties uz analoģiju ar politisko partiju finansēšanas pārk</w:t>
      </w:r>
      <w:r w:rsidR="00301537">
        <w:t>āpumiem;</w:t>
      </w:r>
      <w:r w:rsidR="00BE773F">
        <w:t xml:space="preserve"> akcentē, ka jāparedz ne tikai administratīvie sodi, bet atsevišķos gadījumos arī kriminālsodi. Vairumā valstu kā soda mērs tiek piemērota izslēgšana no lobētāju reģistra.</w:t>
      </w:r>
    </w:p>
    <w:p w:rsidR="00AA727F" w:rsidRDefault="00BE773F" w:rsidP="00E440AF">
      <w:pPr>
        <w:ind w:firstLine="567"/>
        <w:jc w:val="both"/>
      </w:pPr>
      <w:r w:rsidRPr="00DB069A">
        <w:rPr>
          <w:b/>
        </w:rPr>
        <w:t>I.Brīnuma</w:t>
      </w:r>
      <w:r>
        <w:t xml:space="preserve"> akcentē</w:t>
      </w:r>
      <w:r w:rsidR="00A850F8">
        <w:t xml:space="preserve"> juridisko un fizisko personu atšķir</w:t>
      </w:r>
      <w:r w:rsidR="00301537">
        <w:t>ības,</w:t>
      </w:r>
      <w:r w:rsidR="00A850F8">
        <w:t xml:space="preserve"> piemērojot sodīšanas mehānismus.</w:t>
      </w:r>
    </w:p>
    <w:p w:rsidR="00A94BC2" w:rsidRDefault="00A94BC2" w:rsidP="00E440AF">
      <w:pPr>
        <w:ind w:firstLine="567"/>
        <w:jc w:val="both"/>
      </w:pPr>
      <w:r w:rsidRPr="00A94BC2">
        <w:rPr>
          <w:b/>
        </w:rPr>
        <w:t>V.Valtenbergs</w:t>
      </w:r>
      <w:r>
        <w:t xml:space="preserve"> sniedz papildus komentāru par citu valstu pieredzi.</w:t>
      </w:r>
    </w:p>
    <w:p w:rsidR="00A94BC2" w:rsidRDefault="00BE773F" w:rsidP="00BE773F">
      <w:pPr>
        <w:ind w:firstLine="567"/>
        <w:jc w:val="both"/>
        <w:rPr>
          <w:rFonts w:cs="Times New Roman"/>
          <w:color w:val="000000"/>
          <w:szCs w:val="24"/>
        </w:rPr>
      </w:pPr>
      <w:r w:rsidRPr="007B5768">
        <w:rPr>
          <w:rFonts w:cs="Times New Roman"/>
          <w:b/>
          <w:color w:val="000000"/>
          <w:szCs w:val="24"/>
        </w:rPr>
        <w:t>A.Judins</w:t>
      </w:r>
      <w:r>
        <w:rPr>
          <w:rFonts w:cs="Times New Roman"/>
          <w:color w:val="000000"/>
          <w:szCs w:val="24"/>
        </w:rPr>
        <w:t xml:space="preserve"> </w:t>
      </w:r>
      <w:r w:rsidR="00A94BC2">
        <w:rPr>
          <w:rFonts w:cs="Times New Roman"/>
          <w:color w:val="000000"/>
          <w:szCs w:val="24"/>
        </w:rPr>
        <w:t>atzīmē, ka Latvijas valstī nav metodes, kā juridisku personu tiešā veidā saukt pie kriminālatbildības. Vēlas vispirms noskaidrot pārkāpumus, par kuriem šajā jomā sodīt. Lobēšanas jomā saskata tikai administratīvos sodus, neredz gadījumus, kuros vajadzētu piemērot kriminālsodus, jo tie jau būs citu procesu ietvaros.</w:t>
      </w:r>
    </w:p>
    <w:p w:rsidR="00A94BC2" w:rsidRPr="00A53CA6" w:rsidRDefault="00A94BC2" w:rsidP="00A53CA6">
      <w:pPr>
        <w:ind w:firstLine="567"/>
        <w:jc w:val="both"/>
        <w:rPr>
          <w:i/>
        </w:rPr>
      </w:pPr>
      <w:r>
        <w:rPr>
          <w:i/>
        </w:rPr>
        <w:t>Notiek diskusija par iespējamiem gadījumiem, kuros piemērot sodus, īpaši – kriminālsodus.</w:t>
      </w:r>
      <w:r w:rsidR="000024CF">
        <w:rPr>
          <w:i/>
        </w:rPr>
        <w:t xml:space="preserve"> Diskusijas dalībnieki akcentē samērīguma principa ievērošanas prioritāti.</w:t>
      </w:r>
      <w:r w:rsidRPr="007B5768">
        <w:rPr>
          <w:i/>
        </w:rPr>
        <w:t xml:space="preserve"> Viedokļus izsaka </w:t>
      </w:r>
      <w:r w:rsidR="000024CF">
        <w:rPr>
          <w:i/>
        </w:rPr>
        <w:t xml:space="preserve">J.Rancāns, L.Stafecka, A.Judins, </w:t>
      </w:r>
      <w:proofErr w:type="spellStart"/>
      <w:r w:rsidR="000024CF">
        <w:rPr>
          <w:i/>
        </w:rPr>
        <w:t>I</w:t>
      </w:r>
      <w:r w:rsidR="00A53CA6">
        <w:rPr>
          <w:i/>
        </w:rPr>
        <w:t>.Voika</w:t>
      </w:r>
      <w:proofErr w:type="spellEnd"/>
      <w:r w:rsidR="00A53CA6">
        <w:rPr>
          <w:i/>
        </w:rPr>
        <w:t>.</w:t>
      </w:r>
      <w:r w:rsidRPr="007B5768">
        <w:rPr>
          <w:rFonts w:cs="Times New Roman"/>
          <w:i/>
          <w:color w:val="000000"/>
          <w:szCs w:val="24"/>
        </w:rPr>
        <w:t xml:space="preserve"> Tiek apspriesti </w:t>
      </w:r>
      <w:r w:rsidR="000024CF">
        <w:rPr>
          <w:rFonts w:cs="Times New Roman"/>
          <w:i/>
          <w:color w:val="000000"/>
          <w:szCs w:val="24"/>
        </w:rPr>
        <w:t xml:space="preserve">arī iespējami absurdi gadījumi. Kā būtisks iespējamais pārkāpums tiek nosaukta </w:t>
      </w:r>
      <w:r w:rsidR="000024CF" w:rsidRPr="000024CF">
        <w:rPr>
          <w:rFonts w:cs="Times New Roman"/>
          <w:i/>
          <w:color w:val="000000"/>
          <w:szCs w:val="24"/>
        </w:rPr>
        <w:t>nepatiesu ziņu sniegšana</w:t>
      </w:r>
      <w:r w:rsidR="000024CF">
        <w:rPr>
          <w:rFonts w:cs="Times New Roman"/>
          <w:i/>
          <w:color w:val="000000"/>
          <w:szCs w:val="24"/>
        </w:rPr>
        <w:t>. Diskusijas dalībnieki atbalsta viedokli sākt ar administratīvajiem sodiem, kas dotu iespēju izvērtēt, vai šie mēri sasniedz mērķi.</w:t>
      </w:r>
    </w:p>
    <w:p w:rsidR="000024CF" w:rsidRDefault="00A53CA6" w:rsidP="00BE773F">
      <w:pPr>
        <w:ind w:firstLine="567"/>
        <w:jc w:val="both"/>
        <w:rPr>
          <w:rFonts w:cs="Times New Roman"/>
          <w:color w:val="000000"/>
          <w:szCs w:val="24"/>
        </w:rPr>
      </w:pPr>
      <w:r w:rsidRPr="00A53CA6">
        <w:rPr>
          <w:rFonts w:cs="Times New Roman"/>
          <w:b/>
          <w:color w:val="000000"/>
          <w:szCs w:val="24"/>
        </w:rPr>
        <w:t>Z.Zvirgzdiņa</w:t>
      </w:r>
      <w:r>
        <w:rPr>
          <w:rFonts w:cs="Times New Roman"/>
          <w:color w:val="000000"/>
          <w:szCs w:val="24"/>
        </w:rPr>
        <w:t xml:space="preserve"> rezumē viedokļus par atbildību un sodiem:</w:t>
      </w:r>
    </w:p>
    <w:p w:rsidR="00A53CA6" w:rsidRDefault="00A53CA6" w:rsidP="00BE773F">
      <w:pPr>
        <w:ind w:firstLine="567"/>
        <w:jc w:val="both"/>
        <w:rPr>
          <w:rFonts w:cs="Times New Roman"/>
          <w:color w:val="000000"/>
          <w:szCs w:val="24"/>
        </w:rPr>
      </w:pPr>
      <w:r>
        <w:rPr>
          <w:rFonts w:cs="Times New Roman"/>
          <w:color w:val="000000"/>
          <w:szCs w:val="24"/>
        </w:rPr>
        <w:t>- mērķis ir lobēšanas atklātības</w:t>
      </w:r>
      <w:r w:rsidR="002809FD">
        <w:rPr>
          <w:rFonts w:cs="Times New Roman"/>
          <w:color w:val="000000"/>
          <w:szCs w:val="24"/>
        </w:rPr>
        <w:t>,</w:t>
      </w:r>
      <w:r>
        <w:rPr>
          <w:rFonts w:cs="Times New Roman"/>
          <w:color w:val="000000"/>
          <w:szCs w:val="24"/>
        </w:rPr>
        <w:t xml:space="preserve"> nevis lobēšanas ierobežošanas likums;</w:t>
      </w:r>
    </w:p>
    <w:p w:rsidR="00A53CA6" w:rsidRDefault="00A53CA6" w:rsidP="00BE773F">
      <w:pPr>
        <w:ind w:firstLine="567"/>
        <w:jc w:val="both"/>
        <w:rPr>
          <w:rFonts w:cs="Times New Roman"/>
          <w:color w:val="000000"/>
          <w:szCs w:val="24"/>
        </w:rPr>
      </w:pPr>
      <w:r>
        <w:rPr>
          <w:rFonts w:cs="Times New Roman"/>
          <w:color w:val="000000"/>
          <w:szCs w:val="24"/>
        </w:rPr>
        <w:t xml:space="preserve">- </w:t>
      </w:r>
      <w:r w:rsidR="002809FD">
        <w:rPr>
          <w:rFonts w:cs="Times New Roman"/>
          <w:color w:val="000000"/>
          <w:szCs w:val="24"/>
        </w:rPr>
        <w:t>sodiem jābūt saistībā ar darbībām, kā rezultātā netiek sasniegts atklātības mērķis. Jādomā, vai piespriestais sods (uzslēgšana no reģistra) darbosies sasniedzamā mērķa labā. Iesaka pārdomāt naudas sodu efektivitāti;</w:t>
      </w:r>
    </w:p>
    <w:p w:rsidR="002809FD" w:rsidRDefault="002809FD" w:rsidP="00BE773F">
      <w:pPr>
        <w:ind w:firstLine="567"/>
        <w:jc w:val="both"/>
        <w:rPr>
          <w:rFonts w:cs="Times New Roman"/>
          <w:color w:val="000000"/>
          <w:szCs w:val="24"/>
        </w:rPr>
      </w:pPr>
      <w:r>
        <w:rPr>
          <w:rFonts w:cs="Times New Roman"/>
          <w:color w:val="000000"/>
          <w:szCs w:val="24"/>
        </w:rPr>
        <w:t>- kriminālsodi jau tiek piemēroti par pārkāpumiem Krimināllikuma ietvaros.</w:t>
      </w:r>
    </w:p>
    <w:p w:rsidR="002809FD" w:rsidRDefault="002809FD" w:rsidP="00BE773F">
      <w:pPr>
        <w:ind w:firstLine="567"/>
        <w:jc w:val="both"/>
        <w:rPr>
          <w:rFonts w:cs="Times New Roman"/>
          <w:color w:val="000000"/>
          <w:szCs w:val="24"/>
        </w:rPr>
      </w:pPr>
      <w:r w:rsidRPr="002809FD">
        <w:rPr>
          <w:rFonts w:cs="Times New Roman"/>
          <w:b/>
          <w:color w:val="000000"/>
          <w:szCs w:val="24"/>
        </w:rPr>
        <w:t>A.Judins</w:t>
      </w:r>
      <w:r>
        <w:rPr>
          <w:rFonts w:cs="Times New Roman"/>
          <w:color w:val="000000"/>
          <w:szCs w:val="24"/>
        </w:rPr>
        <w:t xml:space="preserve"> akcentē, ka sodā, lai tas būtu efektīvs, ir jāietver bonusi, kurus nav izdevīgi zaudēt.</w:t>
      </w:r>
    </w:p>
    <w:p w:rsidR="002809FD" w:rsidRDefault="002809FD" w:rsidP="00BE773F">
      <w:pPr>
        <w:ind w:firstLine="567"/>
        <w:jc w:val="both"/>
        <w:rPr>
          <w:rFonts w:cs="Times New Roman"/>
          <w:color w:val="000000"/>
          <w:szCs w:val="24"/>
        </w:rPr>
      </w:pPr>
      <w:r w:rsidRPr="002809FD">
        <w:rPr>
          <w:rFonts w:cs="Times New Roman"/>
          <w:b/>
          <w:color w:val="000000"/>
          <w:szCs w:val="24"/>
        </w:rPr>
        <w:t>Z.Zvirgzdiņa</w:t>
      </w:r>
      <w:r>
        <w:rPr>
          <w:rFonts w:cs="Times New Roman"/>
          <w:color w:val="000000"/>
          <w:szCs w:val="24"/>
        </w:rPr>
        <w:t xml:space="preserve"> iesaka apsvērt jautājumu par reģistrācijas fiksācijas brīdi. Vai drīkst vispirms lobēt un tad reģistrēties, vai otrādi.</w:t>
      </w:r>
    </w:p>
    <w:p w:rsidR="00AA727F" w:rsidRDefault="002809FD" w:rsidP="00E440AF">
      <w:pPr>
        <w:ind w:firstLine="567"/>
        <w:jc w:val="both"/>
        <w:rPr>
          <w:rFonts w:cs="Times New Roman"/>
          <w:color w:val="000000"/>
          <w:szCs w:val="24"/>
        </w:rPr>
      </w:pPr>
      <w:r w:rsidRPr="002809FD">
        <w:rPr>
          <w:rFonts w:cs="Times New Roman"/>
          <w:b/>
          <w:color w:val="000000"/>
          <w:szCs w:val="24"/>
        </w:rPr>
        <w:t>A.Judins</w:t>
      </w:r>
      <w:r>
        <w:rPr>
          <w:rFonts w:cs="Times New Roman"/>
          <w:color w:val="000000"/>
          <w:szCs w:val="24"/>
        </w:rPr>
        <w:t xml:space="preserve"> uzskata, ka likumā ir jābūt saprotamai robežšķirtnei starp lobētāju un vienkārši aktīvu cilvēku.</w:t>
      </w:r>
      <w:r w:rsidR="00C50700">
        <w:rPr>
          <w:rFonts w:cs="Times New Roman"/>
          <w:color w:val="000000"/>
          <w:szCs w:val="24"/>
        </w:rPr>
        <w:t xml:space="preserve"> Ne vienmēr vēlme piedalīties Saeimas komisiju sēdē ir saistīta ar lobēšanas interesēm. Nedrīkst uzstādīt pārāk formalizētas prasības.</w:t>
      </w:r>
    </w:p>
    <w:p w:rsidR="00C50700" w:rsidRDefault="00C50700" w:rsidP="00E440AF">
      <w:pPr>
        <w:ind w:firstLine="567"/>
        <w:jc w:val="both"/>
      </w:pPr>
      <w:r w:rsidRPr="00C50700">
        <w:rPr>
          <w:rFonts w:cs="Times New Roman"/>
          <w:b/>
          <w:color w:val="000000"/>
          <w:szCs w:val="24"/>
        </w:rPr>
        <w:t>E.Šnore</w:t>
      </w:r>
      <w:r>
        <w:rPr>
          <w:rFonts w:cs="Times New Roman"/>
          <w:color w:val="000000"/>
          <w:szCs w:val="24"/>
        </w:rPr>
        <w:t xml:space="preserve"> iezīmē specifisku situāciju saistībā ar kādas mazākumtautību biedrības uzaicināšanu piedalīties komisijas sēdē. Uzskata, ka prasība šīm biedrībām iepriekš reģistrēties kā lobētājiem, var radīt nevēlēšanos līdzdarboties vispār.</w:t>
      </w:r>
    </w:p>
    <w:p w:rsidR="003C4BB1" w:rsidRDefault="00C50700" w:rsidP="00E440AF">
      <w:pPr>
        <w:ind w:firstLine="567"/>
        <w:jc w:val="both"/>
      </w:pPr>
      <w:r>
        <w:rPr>
          <w:i/>
        </w:rPr>
        <w:t>Notiek diskusija par</w:t>
      </w:r>
      <w:r>
        <w:rPr>
          <w:i/>
        </w:rPr>
        <w:t xml:space="preserve"> E.Šnores ierosināto situāciju. Viedokļus izsaka Z.Zvirgzdiņa, I.Voika, E.</w:t>
      </w:r>
      <w:r w:rsidR="009C099F">
        <w:rPr>
          <w:i/>
        </w:rPr>
        <w:t xml:space="preserve">Šnore, </w:t>
      </w:r>
      <w:proofErr w:type="spellStart"/>
      <w:r w:rsidR="009C099F">
        <w:rPr>
          <w:i/>
        </w:rPr>
        <w:t>V.Valtenbergs</w:t>
      </w:r>
      <w:proofErr w:type="spellEnd"/>
      <w:r w:rsidR="009C099F">
        <w:rPr>
          <w:i/>
        </w:rPr>
        <w:t>.</w:t>
      </w:r>
      <w:r>
        <w:rPr>
          <w:i/>
        </w:rPr>
        <w:t xml:space="preserve"> I.Voika akcentē nepieciešamību noskaidrot, vai šādas darbības ir sistēmiskas un atk</w:t>
      </w:r>
      <w:r w:rsidR="009C099F">
        <w:rPr>
          <w:i/>
        </w:rPr>
        <w:t>ātojas, vai tās ir lobēšanas situācijas pēc definīcijas.</w:t>
      </w:r>
      <w:r>
        <w:rPr>
          <w:i/>
        </w:rPr>
        <w:t xml:space="preserve"> </w:t>
      </w:r>
      <w:r w:rsidR="009C099F">
        <w:rPr>
          <w:i/>
        </w:rPr>
        <w:t xml:space="preserve">Diskusija tiek ilustrēta ar Saeimas komisiju darba standartsituācijām. Tiek apspriests arī kopīgais un atšķirīgais starp ekspertiem un lobistiem. </w:t>
      </w:r>
    </w:p>
    <w:p w:rsidR="00C50700" w:rsidRDefault="009C099F" w:rsidP="00E440AF">
      <w:pPr>
        <w:ind w:firstLine="567"/>
        <w:jc w:val="both"/>
      </w:pPr>
      <w:r w:rsidRPr="00767779">
        <w:rPr>
          <w:b/>
        </w:rPr>
        <w:lastRenderedPageBreak/>
        <w:t>I.Voika</w:t>
      </w:r>
      <w:r>
        <w:t xml:space="preserve"> </w:t>
      </w:r>
      <w:r w:rsidR="00F84FC8">
        <w:t>akcentē vēlmi pieņemt tādu likumu, kas reāli darbojas. R</w:t>
      </w:r>
      <w:r>
        <w:t>ezumē sankciju jautājumā būtisko:</w:t>
      </w:r>
    </w:p>
    <w:p w:rsidR="009C099F" w:rsidRDefault="009C099F" w:rsidP="00E440AF">
      <w:pPr>
        <w:ind w:firstLine="567"/>
        <w:jc w:val="both"/>
      </w:pPr>
      <w:r>
        <w:t>- ir jākonstatē lobēšanas jomā iespējamie pārkāpumi</w:t>
      </w:r>
      <w:r w:rsidR="00796D14">
        <w:t>;</w:t>
      </w:r>
    </w:p>
    <w:p w:rsidR="00796D14" w:rsidRDefault="00796D14" w:rsidP="00E440AF">
      <w:pPr>
        <w:ind w:firstLine="567"/>
        <w:jc w:val="both"/>
      </w:pPr>
      <w:r>
        <w:t>- izejot no pārkāpumu saraksta, sastādīt pārkāpumu skalu ar atbilstošiem piemērojamiem sodiem;</w:t>
      </w:r>
    </w:p>
    <w:p w:rsidR="00796D14" w:rsidRDefault="00796D14" w:rsidP="00E440AF">
      <w:pPr>
        <w:ind w:firstLine="567"/>
        <w:jc w:val="both"/>
      </w:pPr>
      <w:r>
        <w:t>- iepazīties ar analogiem piemēriem par sodu piemērošanu – politisko partiju finansēšana, amatpersonu deklarācijas.</w:t>
      </w:r>
    </w:p>
    <w:p w:rsidR="00254F95" w:rsidRDefault="00254F95" w:rsidP="00E440AF">
      <w:pPr>
        <w:ind w:firstLine="567"/>
        <w:jc w:val="both"/>
      </w:pPr>
      <w:r>
        <w:t xml:space="preserve">Jautājumu par </w:t>
      </w:r>
      <w:r w:rsidRPr="00301537">
        <w:rPr>
          <w:b/>
        </w:rPr>
        <w:t>ētikas kodeksiem</w:t>
      </w:r>
      <w:r>
        <w:t xml:space="preserve"> I.Voika iesaka apspriest nākamajā sēdē, kopā ar industrijas pārstāvjiem. Iesaka ētikas kodekus saistīt ar pretkorupcijas politiku, arī privātajās struktūrās.</w:t>
      </w:r>
    </w:p>
    <w:p w:rsidR="00C50700" w:rsidRDefault="00254F95" w:rsidP="00E440AF">
      <w:pPr>
        <w:ind w:firstLine="567"/>
        <w:jc w:val="both"/>
      </w:pPr>
      <w:r>
        <w:t xml:space="preserve">Aicina izdiskutēt jautājumu par deputātu </w:t>
      </w:r>
      <w:bookmarkStart w:id="0" w:name="_GoBack"/>
      <w:r w:rsidRPr="00301537">
        <w:rPr>
          <w:b/>
        </w:rPr>
        <w:t>atklātajiem kalendāriem</w:t>
      </w:r>
      <w:bookmarkEnd w:id="0"/>
      <w:r>
        <w:t>. Dod vārdu V.Valtenbergam informācijai par ārvalstu pieredzi.</w:t>
      </w:r>
    </w:p>
    <w:p w:rsidR="00254F95" w:rsidRDefault="00254F95" w:rsidP="00E440AF">
      <w:pPr>
        <w:ind w:firstLine="567"/>
        <w:jc w:val="both"/>
      </w:pPr>
      <w:r w:rsidRPr="00F8554B">
        <w:rPr>
          <w:b/>
        </w:rPr>
        <w:t>V.Valtenbergs</w:t>
      </w:r>
      <w:r w:rsidR="00F8554B">
        <w:t xml:space="preserve"> informē, ka personīgie deputātu kalendāri, kuros viņi norāda savas tikšanās ar lobētājiem, ir reti izplatīta prakse (Lietuva, ASV). Pamatā tas notiek brīvprātīgi. Ir deputātu vizītkartes, parlamentārās dienaskārtības, oficiālā informācija parlamentu mājaslapās. </w:t>
      </w:r>
    </w:p>
    <w:p w:rsidR="00F8554B" w:rsidRDefault="00F8554B" w:rsidP="00E440AF">
      <w:pPr>
        <w:ind w:firstLine="567"/>
        <w:jc w:val="both"/>
      </w:pPr>
      <w:r w:rsidRPr="00F8554B">
        <w:rPr>
          <w:b/>
        </w:rPr>
        <w:t>I.Voika</w:t>
      </w:r>
      <w:r>
        <w:t xml:space="preserve"> aicina izteikt viedokli par atklāto kalendāru ietveršana lobēšanas atklātības likumā.</w:t>
      </w:r>
    </w:p>
    <w:p w:rsidR="00F8554B" w:rsidRDefault="00F8554B" w:rsidP="00F8554B">
      <w:pPr>
        <w:autoSpaceDE w:val="0"/>
        <w:autoSpaceDN w:val="0"/>
        <w:adjustRightInd w:val="0"/>
        <w:ind w:firstLine="567"/>
        <w:jc w:val="both"/>
        <w:rPr>
          <w:i/>
        </w:rPr>
      </w:pPr>
      <w:r w:rsidRPr="00134029">
        <w:rPr>
          <w:i/>
        </w:rPr>
        <w:t>Notiek diskusija par</w:t>
      </w:r>
      <w:r>
        <w:rPr>
          <w:i/>
        </w:rPr>
        <w:t xml:space="preserve"> atklāto kalendāru aktualizēšanu likumā. E.Šnore un J.Rancāns iesaka šajā jautājumā ievērot brīvprāt</w:t>
      </w:r>
      <w:r w:rsidR="007E398D">
        <w:rPr>
          <w:i/>
        </w:rPr>
        <w:t xml:space="preserve">ības principu, uzsver arī resursu aspektu. I.Kušķe informē par jauno atklātās pārvaldības plānu, kurā viens no ietvertajiem rīkiem ir </w:t>
      </w:r>
      <w:r w:rsidR="00AB1A76">
        <w:rPr>
          <w:i/>
        </w:rPr>
        <w:t xml:space="preserve">augstāko valsts </w:t>
      </w:r>
      <w:r w:rsidR="007E398D">
        <w:rPr>
          <w:i/>
        </w:rPr>
        <w:t xml:space="preserve">amatpersonu </w:t>
      </w:r>
      <w:r w:rsidR="00AB1A76">
        <w:rPr>
          <w:i/>
        </w:rPr>
        <w:t>atvēr</w:t>
      </w:r>
      <w:r w:rsidR="007E398D">
        <w:rPr>
          <w:i/>
        </w:rPr>
        <w:t>tie kalendāri.</w:t>
      </w:r>
      <w:r w:rsidR="00AB1A76">
        <w:rPr>
          <w:i/>
        </w:rPr>
        <w:t xml:space="preserve"> Atzīmē arī lielākas atklātības nepieciešamību dokumentu izstrādes virzībā – anotācijas, izziņas, dalībnieku saraksti.</w:t>
      </w:r>
    </w:p>
    <w:p w:rsidR="00AB1A76" w:rsidRDefault="00AB1A76" w:rsidP="00F8554B">
      <w:pPr>
        <w:autoSpaceDE w:val="0"/>
        <w:autoSpaceDN w:val="0"/>
        <w:adjustRightInd w:val="0"/>
        <w:ind w:firstLine="567"/>
        <w:jc w:val="both"/>
        <w:rPr>
          <w:i/>
        </w:rPr>
      </w:pPr>
      <w:r>
        <w:rPr>
          <w:i/>
        </w:rPr>
        <w:t xml:space="preserve">Tiek diskutēts arī par lielākas atklātības nepieciešamību Saeimas komisiju darbības atspoguļojumā, vienotu protokolos iekļaujamo informāciju. </w:t>
      </w:r>
      <w:r w:rsidR="00F41639">
        <w:rPr>
          <w:i/>
        </w:rPr>
        <w:t xml:space="preserve">Viedokļus izsaka M.Šteins, J.Rancāns, </w:t>
      </w:r>
      <w:proofErr w:type="spellStart"/>
      <w:r w:rsidR="00F41639">
        <w:rPr>
          <w:i/>
        </w:rPr>
        <w:t>I.Voika</w:t>
      </w:r>
      <w:proofErr w:type="spellEnd"/>
      <w:r w:rsidR="00F41639">
        <w:rPr>
          <w:i/>
        </w:rPr>
        <w:t xml:space="preserve">. </w:t>
      </w:r>
      <w:r>
        <w:rPr>
          <w:i/>
        </w:rPr>
        <w:t xml:space="preserve">J.Rancāns uzskata, ka tas ir </w:t>
      </w:r>
      <w:r w:rsidR="00F41639">
        <w:rPr>
          <w:i/>
        </w:rPr>
        <w:t xml:space="preserve">Saeimas </w:t>
      </w:r>
      <w:r>
        <w:rPr>
          <w:i/>
        </w:rPr>
        <w:t>iek</w:t>
      </w:r>
      <w:r w:rsidR="005251B4">
        <w:rPr>
          <w:i/>
        </w:rPr>
        <w:t>šē</w:t>
      </w:r>
      <w:r>
        <w:rPr>
          <w:i/>
        </w:rPr>
        <w:t>jo normatīvo aktu jautājums</w:t>
      </w:r>
      <w:r w:rsidR="00F41639">
        <w:rPr>
          <w:i/>
        </w:rPr>
        <w:t>. Juridiskajā komisijā arvien vēl turpinās diskusijas par Saeimas kārtības ruļļa pilnveidošanu.</w:t>
      </w:r>
    </w:p>
    <w:p w:rsidR="00102C15" w:rsidRDefault="00FA289C" w:rsidP="007D5073">
      <w:pPr>
        <w:autoSpaceDE w:val="0"/>
        <w:autoSpaceDN w:val="0"/>
        <w:adjustRightInd w:val="0"/>
        <w:ind w:firstLine="720"/>
        <w:jc w:val="both"/>
        <w:rPr>
          <w:rFonts w:cs="Times New Roman"/>
          <w:color w:val="000000"/>
          <w:szCs w:val="24"/>
        </w:rPr>
      </w:pPr>
      <w:r w:rsidRPr="002C18C9">
        <w:rPr>
          <w:rFonts w:cs="Times New Roman"/>
          <w:b/>
          <w:color w:val="000000"/>
          <w:szCs w:val="24"/>
        </w:rPr>
        <w:t>I.Voika</w:t>
      </w:r>
      <w:r>
        <w:rPr>
          <w:rFonts w:cs="Times New Roman"/>
          <w:color w:val="000000"/>
          <w:szCs w:val="24"/>
        </w:rPr>
        <w:t xml:space="preserve"> iesaka </w:t>
      </w:r>
      <w:r w:rsidR="00102C15">
        <w:rPr>
          <w:rFonts w:cs="Times New Roman"/>
          <w:color w:val="000000"/>
          <w:szCs w:val="24"/>
        </w:rPr>
        <w:t>vēl turpināt diskusiju par amatpersonu atklāto kalendāru nepieciešamību. Izstrādājot likumu, iesaka ievērot samērīguma principu, nosakot pienākumus lēmuma pieņēmējiem un lobētājiem.</w:t>
      </w:r>
      <w:r w:rsidR="00116E63">
        <w:rPr>
          <w:rFonts w:cs="Times New Roman"/>
          <w:color w:val="000000"/>
          <w:szCs w:val="24"/>
        </w:rPr>
        <w:t xml:space="preserve"> Ir jāveido sistēma, kas situāciju uzlabo, bet to nepārslogo.</w:t>
      </w:r>
    </w:p>
    <w:p w:rsidR="00116E63" w:rsidRDefault="00116E63" w:rsidP="007D5073">
      <w:pPr>
        <w:autoSpaceDE w:val="0"/>
        <w:autoSpaceDN w:val="0"/>
        <w:adjustRightInd w:val="0"/>
        <w:ind w:firstLine="720"/>
        <w:jc w:val="both"/>
        <w:rPr>
          <w:rFonts w:cs="Times New Roman"/>
          <w:color w:val="000000"/>
          <w:szCs w:val="24"/>
        </w:rPr>
      </w:pPr>
      <w:r w:rsidRPr="00CC735F">
        <w:rPr>
          <w:rFonts w:cs="Times New Roman"/>
          <w:b/>
          <w:color w:val="000000"/>
          <w:szCs w:val="24"/>
        </w:rPr>
        <w:t>J.Rancāns</w:t>
      </w:r>
      <w:r>
        <w:rPr>
          <w:rFonts w:cs="Times New Roman"/>
          <w:color w:val="000000"/>
          <w:szCs w:val="24"/>
        </w:rPr>
        <w:t xml:space="preserve"> iesaka nepārspīlēt ar atklātību un demokrātiju</w:t>
      </w:r>
      <w:r w:rsidR="00F66048">
        <w:rPr>
          <w:rFonts w:cs="Times New Roman"/>
          <w:color w:val="000000"/>
          <w:szCs w:val="24"/>
        </w:rPr>
        <w:t xml:space="preserve">, </w:t>
      </w:r>
      <w:proofErr w:type="gramStart"/>
      <w:r w:rsidR="00F66048">
        <w:rPr>
          <w:rFonts w:cs="Times New Roman"/>
          <w:color w:val="000000"/>
          <w:szCs w:val="24"/>
        </w:rPr>
        <w:t>jo Latvijā jau tā tiek piemērota Eiropas valstīm neraksturīgi liela iespēja personām piedalīties komisiju sēdēs</w:t>
      </w:r>
      <w:proofErr w:type="gramEnd"/>
      <w:r w:rsidR="00F66048">
        <w:rPr>
          <w:rFonts w:cs="Times New Roman"/>
          <w:color w:val="000000"/>
          <w:szCs w:val="24"/>
        </w:rPr>
        <w:t xml:space="preserve"> un izteikt viedokļus. </w:t>
      </w:r>
      <w:r w:rsidR="00AA3672">
        <w:rPr>
          <w:rFonts w:cs="Times New Roman"/>
          <w:color w:val="000000"/>
          <w:szCs w:val="24"/>
        </w:rPr>
        <w:t>Uzticība parlamentam no tā nepieaug.</w:t>
      </w:r>
    </w:p>
    <w:p w:rsidR="00886A6D" w:rsidRDefault="00D97C2C" w:rsidP="00CC735F">
      <w:pPr>
        <w:autoSpaceDE w:val="0"/>
        <w:autoSpaceDN w:val="0"/>
        <w:adjustRightInd w:val="0"/>
        <w:ind w:firstLine="720"/>
        <w:jc w:val="both"/>
      </w:pPr>
      <w:r w:rsidRPr="00D97C2C">
        <w:rPr>
          <w:b/>
        </w:rPr>
        <w:t>I.Voika</w:t>
      </w:r>
      <w:r>
        <w:t xml:space="preserve"> atzīmē, ka </w:t>
      </w:r>
      <w:r w:rsidR="00CC735F">
        <w:t>nepieciešamību strādāt kvalitatīvi un caur to vairot uzticību. Iesaka nākamo sēdi noturēt 18. martā.</w:t>
      </w:r>
    </w:p>
    <w:p w:rsidR="00CC735F" w:rsidRDefault="00CC735F" w:rsidP="00CC735F">
      <w:pPr>
        <w:autoSpaceDE w:val="0"/>
        <w:autoSpaceDN w:val="0"/>
        <w:adjustRightInd w:val="0"/>
        <w:ind w:firstLine="720"/>
        <w:jc w:val="both"/>
      </w:pPr>
      <w:r>
        <w:t>Sēdes dalībniekiem nav iebildumu.</w:t>
      </w:r>
    </w:p>
    <w:p w:rsidR="008C172B" w:rsidRDefault="008C172B" w:rsidP="001C2BD0">
      <w:pPr>
        <w:autoSpaceDE w:val="0"/>
        <w:autoSpaceDN w:val="0"/>
        <w:adjustRightInd w:val="0"/>
        <w:ind w:firstLine="720"/>
        <w:jc w:val="both"/>
      </w:pPr>
    </w:p>
    <w:p w:rsidR="008C172B" w:rsidRDefault="008C172B" w:rsidP="001C2BD0">
      <w:pPr>
        <w:autoSpaceDE w:val="0"/>
        <w:autoSpaceDN w:val="0"/>
        <w:adjustRightInd w:val="0"/>
        <w:ind w:firstLine="720"/>
        <w:jc w:val="both"/>
      </w:pPr>
    </w:p>
    <w:p w:rsidR="006A1440" w:rsidRDefault="006A1440" w:rsidP="001C2BD0">
      <w:pPr>
        <w:autoSpaceDE w:val="0"/>
        <w:autoSpaceDN w:val="0"/>
        <w:adjustRightInd w:val="0"/>
        <w:ind w:firstLine="720"/>
        <w:jc w:val="both"/>
      </w:pPr>
    </w:p>
    <w:p w:rsidR="006A1440" w:rsidRDefault="006A1440" w:rsidP="001C2BD0">
      <w:pPr>
        <w:autoSpaceDE w:val="0"/>
        <w:autoSpaceDN w:val="0"/>
        <w:adjustRightInd w:val="0"/>
        <w:ind w:firstLine="720"/>
        <w:jc w:val="both"/>
      </w:pPr>
    </w:p>
    <w:p w:rsidR="008C172B" w:rsidRDefault="008C172B" w:rsidP="008C172B">
      <w:pPr>
        <w:ind w:firstLine="567"/>
        <w:jc w:val="right"/>
      </w:pPr>
    </w:p>
    <w:p w:rsidR="008C172B" w:rsidRDefault="008C172B" w:rsidP="008C172B">
      <w:pPr>
        <w:ind w:firstLine="567"/>
        <w:jc w:val="right"/>
      </w:pPr>
    </w:p>
    <w:p w:rsidR="008C172B" w:rsidRDefault="008C172B" w:rsidP="008C172B">
      <w:pPr>
        <w:jc w:val="right"/>
      </w:pPr>
      <w:r>
        <w:t>I.Silabriede</w:t>
      </w:r>
    </w:p>
    <w:p w:rsidR="008C172B" w:rsidRDefault="008C172B" w:rsidP="001C2BD0">
      <w:pPr>
        <w:autoSpaceDE w:val="0"/>
        <w:autoSpaceDN w:val="0"/>
        <w:adjustRightInd w:val="0"/>
        <w:ind w:firstLine="720"/>
        <w:jc w:val="both"/>
      </w:pPr>
    </w:p>
    <w:sectPr w:rsidR="008C172B" w:rsidSect="00C30030">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EF7" w:rsidRDefault="00F23EF7" w:rsidP="006B34E9">
      <w:r>
        <w:separator/>
      </w:r>
    </w:p>
  </w:endnote>
  <w:endnote w:type="continuationSeparator" w:id="0">
    <w:p w:rsidR="00F23EF7" w:rsidRDefault="00F23EF7" w:rsidP="006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95677"/>
      <w:docPartObj>
        <w:docPartGallery w:val="Page Numbers (Bottom of Page)"/>
        <w:docPartUnique/>
      </w:docPartObj>
    </w:sdtPr>
    <w:sdtEndPr>
      <w:rPr>
        <w:noProof/>
      </w:rPr>
    </w:sdtEndPr>
    <w:sdtContent>
      <w:p w:rsidR="006B34E9" w:rsidRDefault="006B34E9">
        <w:pPr>
          <w:pStyle w:val="Footer"/>
          <w:jc w:val="right"/>
        </w:pPr>
        <w:r>
          <w:fldChar w:fldCharType="begin"/>
        </w:r>
        <w:r>
          <w:instrText xml:space="preserve"> PAGE   \* MERGEFORMAT </w:instrText>
        </w:r>
        <w:r>
          <w:fldChar w:fldCharType="separate"/>
        </w:r>
        <w:r w:rsidR="00301537">
          <w:rPr>
            <w:noProof/>
          </w:rPr>
          <w:t>4</w:t>
        </w:r>
        <w:r>
          <w:rPr>
            <w:noProof/>
          </w:rPr>
          <w:fldChar w:fldCharType="end"/>
        </w:r>
      </w:p>
    </w:sdtContent>
  </w:sdt>
  <w:p w:rsidR="006B34E9" w:rsidRDefault="006B3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EF7" w:rsidRDefault="00F23EF7" w:rsidP="006B34E9">
      <w:r>
        <w:separator/>
      </w:r>
    </w:p>
  </w:footnote>
  <w:footnote w:type="continuationSeparator" w:id="0">
    <w:p w:rsidR="00F23EF7" w:rsidRDefault="00F23EF7" w:rsidP="006B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7B914C8"/>
    <w:multiLevelType w:val="hybridMultilevel"/>
    <w:tmpl w:val="BE72A6F2"/>
    <w:lvl w:ilvl="0" w:tplc="27FE8056">
      <w:start w:val="1"/>
      <w:numFmt w:val="bullet"/>
      <w:lvlText w:val="•"/>
      <w:lvlJc w:val="left"/>
      <w:pPr>
        <w:tabs>
          <w:tab w:val="num" w:pos="720"/>
        </w:tabs>
        <w:ind w:left="720" w:hanging="360"/>
      </w:pPr>
      <w:rPr>
        <w:rFonts w:ascii="Arial" w:hAnsi="Arial" w:hint="default"/>
      </w:rPr>
    </w:lvl>
    <w:lvl w:ilvl="1" w:tplc="C3705334" w:tentative="1">
      <w:start w:val="1"/>
      <w:numFmt w:val="bullet"/>
      <w:lvlText w:val="•"/>
      <w:lvlJc w:val="left"/>
      <w:pPr>
        <w:tabs>
          <w:tab w:val="num" w:pos="1440"/>
        </w:tabs>
        <w:ind w:left="1440" w:hanging="360"/>
      </w:pPr>
      <w:rPr>
        <w:rFonts w:ascii="Arial" w:hAnsi="Arial" w:hint="default"/>
      </w:rPr>
    </w:lvl>
    <w:lvl w:ilvl="2" w:tplc="7500DBBE" w:tentative="1">
      <w:start w:val="1"/>
      <w:numFmt w:val="bullet"/>
      <w:lvlText w:val="•"/>
      <w:lvlJc w:val="left"/>
      <w:pPr>
        <w:tabs>
          <w:tab w:val="num" w:pos="2160"/>
        </w:tabs>
        <w:ind w:left="2160" w:hanging="360"/>
      </w:pPr>
      <w:rPr>
        <w:rFonts w:ascii="Arial" w:hAnsi="Arial" w:hint="default"/>
      </w:rPr>
    </w:lvl>
    <w:lvl w:ilvl="3" w:tplc="A0241A4C" w:tentative="1">
      <w:start w:val="1"/>
      <w:numFmt w:val="bullet"/>
      <w:lvlText w:val="•"/>
      <w:lvlJc w:val="left"/>
      <w:pPr>
        <w:tabs>
          <w:tab w:val="num" w:pos="2880"/>
        </w:tabs>
        <w:ind w:left="2880" w:hanging="360"/>
      </w:pPr>
      <w:rPr>
        <w:rFonts w:ascii="Arial" w:hAnsi="Arial" w:hint="default"/>
      </w:rPr>
    </w:lvl>
    <w:lvl w:ilvl="4" w:tplc="32E836A6" w:tentative="1">
      <w:start w:val="1"/>
      <w:numFmt w:val="bullet"/>
      <w:lvlText w:val="•"/>
      <w:lvlJc w:val="left"/>
      <w:pPr>
        <w:tabs>
          <w:tab w:val="num" w:pos="3600"/>
        </w:tabs>
        <w:ind w:left="3600" w:hanging="360"/>
      </w:pPr>
      <w:rPr>
        <w:rFonts w:ascii="Arial" w:hAnsi="Arial" w:hint="default"/>
      </w:rPr>
    </w:lvl>
    <w:lvl w:ilvl="5" w:tplc="01C42B80" w:tentative="1">
      <w:start w:val="1"/>
      <w:numFmt w:val="bullet"/>
      <w:lvlText w:val="•"/>
      <w:lvlJc w:val="left"/>
      <w:pPr>
        <w:tabs>
          <w:tab w:val="num" w:pos="4320"/>
        </w:tabs>
        <w:ind w:left="4320" w:hanging="360"/>
      </w:pPr>
      <w:rPr>
        <w:rFonts w:ascii="Arial" w:hAnsi="Arial" w:hint="default"/>
      </w:rPr>
    </w:lvl>
    <w:lvl w:ilvl="6" w:tplc="21F2BD7A" w:tentative="1">
      <w:start w:val="1"/>
      <w:numFmt w:val="bullet"/>
      <w:lvlText w:val="•"/>
      <w:lvlJc w:val="left"/>
      <w:pPr>
        <w:tabs>
          <w:tab w:val="num" w:pos="5040"/>
        </w:tabs>
        <w:ind w:left="5040" w:hanging="360"/>
      </w:pPr>
      <w:rPr>
        <w:rFonts w:ascii="Arial" w:hAnsi="Arial" w:hint="default"/>
      </w:rPr>
    </w:lvl>
    <w:lvl w:ilvl="7" w:tplc="6EE8554C" w:tentative="1">
      <w:start w:val="1"/>
      <w:numFmt w:val="bullet"/>
      <w:lvlText w:val="•"/>
      <w:lvlJc w:val="left"/>
      <w:pPr>
        <w:tabs>
          <w:tab w:val="num" w:pos="5760"/>
        </w:tabs>
        <w:ind w:left="5760" w:hanging="360"/>
      </w:pPr>
      <w:rPr>
        <w:rFonts w:ascii="Arial" w:hAnsi="Arial" w:hint="default"/>
      </w:rPr>
    </w:lvl>
    <w:lvl w:ilvl="8" w:tplc="C1822B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E2"/>
    <w:rsid w:val="000024CF"/>
    <w:rsid w:val="000165D8"/>
    <w:rsid w:val="00026546"/>
    <w:rsid w:val="00046D6E"/>
    <w:rsid w:val="00062B2C"/>
    <w:rsid w:val="000749D9"/>
    <w:rsid w:val="000A62CE"/>
    <w:rsid w:val="000D5ECE"/>
    <w:rsid w:val="000E22AF"/>
    <w:rsid w:val="00102C15"/>
    <w:rsid w:val="00116E63"/>
    <w:rsid w:val="00134029"/>
    <w:rsid w:val="00135A4C"/>
    <w:rsid w:val="001A6C4F"/>
    <w:rsid w:val="001B112C"/>
    <w:rsid w:val="001C2BD0"/>
    <w:rsid w:val="00206741"/>
    <w:rsid w:val="00235637"/>
    <w:rsid w:val="00242706"/>
    <w:rsid w:val="00246EAD"/>
    <w:rsid w:val="00254F95"/>
    <w:rsid w:val="002562CE"/>
    <w:rsid w:val="00277640"/>
    <w:rsid w:val="002809FD"/>
    <w:rsid w:val="002827C8"/>
    <w:rsid w:val="002C18C9"/>
    <w:rsid w:val="002E5045"/>
    <w:rsid w:val="00301537"/>
    <w:rsid w:val="00375B6E"/>
    <w:rsid w:val="003A4895"/>
    <w:rsid w:val="003C4BB1"/>
    <w:rsid w:val="003E6A0F"/>
    <w:rsid w:val="003F0A9A"/>
    <w:rsid w:val="004067B1"/>
    <w:rsid w:val="00427737"/>
    <w:rsid w:val="00451147"/>
    <w:rsid w:val="00466624"/>
    <w:rsid w:val="00485CB0"/>
    <w:rsid w:val="0048741E"/>
    <w:rsid w:val="004A3114"/>
    <w:rsid w:val="00503792"/>
    <w:rsid w:val="00524BFE"/>
    <w:rsid w:val="005251B4"/>
    <w:rsid w:val="00546A4F"/>
    <w:rsid w:val="00546A9C"/>
    <w:rsid w:val="00592B55"/>
    <w:rsid w:val="005D067E"/>
    <w:rsid w:val="00627FE6"/>
    <w:rsid w:val="006631CC"/>
    <w:rsid w:val="0068603A"/>
    <w:rsid w:val="006A1440"/>
    <w:rsid w:val="006A5642"/>
    <w:rsid w:val="006B34E9"/>
    <w:rsid w:val="006D43B8"/>
    <w:rsid w:val="006D4D38"/>
    <w:rsid w:val="006F5385"/>
    <w:rsid w:val="00727D06"/>
    <w:rsid w:val="007667F6"/>
    <w:rsid w:val="00767779"/>
    <w:rsid w:val="00796D14"/>
    <w:rsid w:val="007B5768"/>
    <w:rsid w:val="007D5073"/>
    <w:rsid w:val="007E398D"/>
    <w:rsid w:val="0080235D"/>
    <w:rsid w:val="0080694B"/>
    <w:rsid w:val="00831BEB"/>
    <w:rsid w:val="00853606"/>
    <w:rsid w:val="00886A6D"/>
    <w:rsid w:val="0089048C"/>
    <w:rsid w:val="008C172B"/>
    <w:rsid w:val="008E7B09"/>
    <w:rsid w:val="00974B5F"/>
    <w:rsid w:val="0097683B"/>
    <w:rsid w:val="009C099F"/>
    <w:rsid w:val="00A04CD4"/>
    <w:rsid w:val="00A14110"/>
    <w:rsid w:val="00A23DE9"/>
    <w:rsid w:val="00A32130"/>
    <w:rsid w:val="00A5399C"/>
    <w:rsid w:val="00A53CA6"/>
    <w:rsid w:val="00A83237"/>
    <w:rsid w:val="00A850F8"/>
    <w:rsid w:val="00A94BC2"/>
    <w:rsid w:val="00AA3672"/>
    <w:rsid w:val="00AA46ED"/>
    <w:rsid w:val="00AA727F"/>
    <w:rsid w:val="00AB1A76"/>
    <w:rsid w:val="00B341AA"/>
    <w:rsid w:val="00B81E18"/>
    <w:rsid w:val="00BC4C88"/>
    <w:rsid w:val="00BE773F"/>
    <w:rsid w:val="00C0731F"/>
    <w:rsid w:val="00C16184"/>
    <w:rsid w:val="00C22B55"/>
    <w:rsid w:val="00C30030"/>
    <w:rsid w:val="00C46F06"/>
    <w:rsid w:val="00C50700"/>
    <w:rsid w:val="00CA5270"/>
    <w:rsid w:val="00CC735F"/>
    <w:rsid w:val="00D078AB"/>
    <w:rsid w:val="00D306E2"/>
    <w:rsid w:val="00D33825"/>
    <w:rsid w:val="00D40731"/>
    <w:rsid w:val="00D744AF"/>
    <w:rsid w:val="00D76D3D"/>
    <w:rsid w:val="00D97C2C"/>
    <w:rsid w:val="00DA7685"/>
    <w:rsid w:val="00DB069A"/>
    <w:rsid w:val="00DB44A2"/>
    <w:rsid w:val="00DC2A9E"/>
    <w:rsid w:val="00DE5623"/>
    <w:rsid w:val="00E325C9"/>
    <w:rsid w:val="00E440AF"/>
    <w:rsid w:val="00EC6BA0"/>
    <w:rsid w:val="00EE0478"/>
    <w:rsid w:val="00F23EF7"/>
    <w:rsid w:val="00F41639"/>
    <w:rsid w:val="00F66048"/>
    <w:rsid w:val="00F84FC8"/>
    <w:rsid w:val="00F8554B"/>
    <w:rsid w:val="00F97C2F"/>
    <w:rsid w:val="00FA0B5E"/>
    <w:rsid w:val="00FA289C"/>
    <w:rsid w:val="00FC5063"/>
    <w:rsid w:val="00FC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FF42"/>
  <w15:chartTrackingRefBased/>
  <w15:docId w15:val="{F1515B20-83AE-4F35-8E25-52E5B12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25C9"/>
    <w:pPr>
      <w:jc w:val="center"/>
    </w:pPr>
    <w:rPr>
      <w:rFonts w:eastAsia="Times New Roman" w:cs="Times New Roman"/>
      <w:b/>
      <w:bCs/>
      <w:szCs w:val="24"/>
    </w:rPr>
  </w:style>
  <w:style w:type="character" w:customStyle="1" w:styleId="TitleChar">
    <w:name w:val="Title Char"/>
    <w:basedOn w:val="DefaultParagraphFont"/>
    <w:link w:val="Title"/>
    <w:rsid w:val="00E325C9"/>
    <w:rPr>
      <w:rFonts w:eastAsia="Times New Roman" w:cs="Times New Roman"/>
      <w:b/>
      <w:bCs/>
      <w:szCs w:val="24"/>
    </w:rPr>
  </w:style>
  <w:style w:type="paragraph" w:styleId="BodyText3">
    <w:name w:val="Body Text 3"/>
    <w:basedOn w:val="Normal"/>
    <w:link w:val="BodyText3Char"/>
    <w:semiHidden/>
    <w:unhideWhenUsed/>
    <w:rsid w:val="00E325C9"/>
    <w:pPr>
      <w:jc w:val="both"/>
    </w:pPr>
    <w:rPr>
      <w:rFonts w:eastAsia="Times New Roman" w:cs="Times New Roman"/>
      <w:b/>
      <w:bCs/>
      <w:szCs w:val="24"/>
    </w:rPr>
  </w:style>
  <w:style w:type="character" w:customStyle="1" w:styleId="BodyText3Char">
    <w:name w:val="Body Text 3 Char"/>
    <w:basedOn w:val="DefaultParagraphFont"/>
    <w:link w:val="BodyText3"/>
    <w:semiHidden/>
    <w:rsid w:val="00E325C9"/>
    <w:rPr>
      <w:rFonts w:eastAsia="Times New Roman" w:cs="Times New Roman"/>
      <w:b/>
      <w:bCs/>
      <w:szCs w:val="24"/>
    </w:rPr>
  </w:style>
  <w:style w:type="paragraph" w:styleId="ListParagraph">
    <w:name w:val="List Paragraph"/>
    <w:basedOn w:val="Normal"/>
    <w:uiPriority w:val="34"/>
    <w:qFormat/>
    <w:rsid w:val="00E325C9"/>
    <w:pPr>
      <w:ind w:left="720"/>
      <w:contextualSpacing/>
    </w:pPr>
    <w:rPr>
      <w:rFonts w:eastAsia="Times New Roman" w:cs="Times New Roman"/>
      <w:szCs w:val="24"/>
    </w:rPr>
  </w:style>
  <w:style w:type="character" w:styleId="Strong">
    <w:name w:val="Strong"/>
    <w:basedOn w:val="DefaultParagraphFont"/>
    <w:qFormat/>
    <w:rsid w:val="00E325C9"/>
    <w:rPr>
      <w:b/>
      <w:bCs/>
    </w:rPr>
  </w:style>
  <w:style w:type="paragraph" w:styleId="Header">
    <w:name w:val="header"/>
    <w:basedOn w:val="Normal"/>
    <w:link w:val="HeaderChar"/>
    <w:uiPriority w:val="99"/>
    <w:unhideWhenUsed/>
    <w:rsid w:val="006B34E9"/>
    <w:pPr>
      <w:tabs>
        <w:tab w:val="center" w:pos="4153"/>
        <w:tab w:val="right" w:pos="8306"/>
      </w:tabs>
    </w:pPr>
  </w:style>
  <w:style w:type="character" w:customStyle="1" w:styleId="HeaderChar">
    <w:name w:val="Header Char"/>
    <w:basedOn w:val="DefaultParagraphFont"/>
    <w:link w:val="Header"/>
    <w:uiPriority w:val="99"/>
    <w:rsid w:val="006B34E9"/>
  </w:style>
  <w:style w:type="paragraph" w:styleId="Footer">
    <w:name w:val="footer"/>
    <w:basedOn w:val="Normal"/>
    <w:link w:val="FooterChar"/>
    <w:uiPriority w:val="99"/>
    <w:unhideWhenUsed/>
    <w:rsid w:val="006B34E9"/>
    <w:pPr>
      <w:tabs>
        <w:tab w:val="center" w:pos="4153"/>
        <w:tab w:val="right" w:pos="8306"/>
      </w:tabs>
    </w:pPr>
  </w:style>
  <w:style w:type="character" w:customStyle="1" w:styleId="FooterChar">
    <w:name w:val="Footer Char"/>
    <w:basedOn w:val="DefaultParagraphFont"/>
    <w:link w:val="Footer"/>
    <w:uiPriority w:val="99"/>
    <w:rsid w:val="006B34E9"/>
  </w:style>
  <w:style w:type="paragraph" w:styleId="BalloonText">
    <w:name w:val="Balloon Text"/>
    <w:basedOn w:val="Normal"/>
    <w:link w:val="BalloonTextChar"/>
    <w:uiPriority w:val="99"/>
    <w:semiHidden/>
    <w:unhideWhenUsed/>
    <w:rsid w:val="00EE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3105">
      <w:bodyDiv w:val="1"/>
      <w:marLeft w:val="0"/>
      <w:marRight w:val="0"/>
      <w:marTop w:val="0"/>
      <w:marBottom w:val="0"/>
      <w:divBdr>
        <w:top w:val="none" w:sz="0" w:space="0" w:color="auto"/>
        <w:left w:val="none" w:sz="0" w:space="0" w:color="auto"/>
        <w:bottom w:val="none" w:sz="0" w:space="0" w:color="auto"/>
        <w:right w:val="none" w:sz="0" w:space="0" w:color="auto"/>
      </w:divBdr>
    </w:div>
    <w:div w:id="294675206">
      <w:bodyDiv w:val="1"/>
      <w:marLeft w:val="0"/>
      <w:marRight w:val="0"/>
      <w:marTop w:val="0"/>
      <w:marBottom w:val="0"/>
      <w:divBdr>
        <w:top w:val="none" w:sz="0" w:space="0" w:color="auto"/>
        <w:left w:val="none" w:sz="0" w:space="0" w:color="auto"/>
        <w:bottom w:val="none" w:sz="0" w:space="0" w:color="auto"/>
        <w:right w:val="none" w:sz="0" w:space="0" w:color="auto"/>
      </w:divBdr>
      <w:divsChild>
        <w:div w:id="973024959">
          <w:marLeft w:val="360"/>
          <w:marRight w:val="0"/>
          <w:marTop w:val="200"/>
          <w:marBottom w:val="0"/>
          <w:divBdr>
            <w:top w:val="none" w:sz="0" w:space="0" w:color="auto"/>
            <w:left w:val="none" w:sz="0" w:space="0" w:color="auto"/>
            <w:bottom w:val="none" w:sz="0" w:space="0" w:color="auto"/>
            <w:right w:val="none" w:sz="0" w:space="0" w:color="auto"/>
          </w:divBdr>
        </w:div>
        <w:div w:id="76199606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4</Pages>
  <Words>8542</Words>
  <Characters>4870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Inese Silabriede</cp:lastModifiedBy>
  <cp:revision>43</cp:revision>
  <cp:lastPrinted>2020-03-11T12:30:00Z</cp:lastPrinted>
  <dcterms:created xsi:type="dcterms:W3CDTF">2020-03-09T13:55:00Z</dcterms:created>
  <dcterms:modified xsi:type="dcterms:W3CDTF">2020-03-11T12:55:00Z</dcterms:modified>
</cp:coreProperties>
</file>